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Contemporary</w:t>
      </w:r>
      <w:r>
        <w:t xml:space="preserve"> </w:t>
      </w:r>
      <w:r>
        <w:t xml:space="preserve">Healthcare:</w:t>
      </w:r>
      <w:r>
        <w:t xml:space="preserve"> </w:t>
      </w:r>
      <w:r>
        <w:t xml:space="preserve">A</w:t>
      </w:r>
      <w:r>
        <w:t xml:space="preserve"> </w:t>
      </w:r>
      <w:r>
        <w:t xml:space="preserve">Focus</w:t>
      </w:r>
      <w:r>
        <w:t xml:space="preserve"> </w:t>
      </w:r>
      <w:r>
        <w:t xml:space="preserve">on</w:t>
      </w:r>
      <w:r>
        <w:t xml:space="preserve"> </w:t>
      </w:r>
      <w:r>
        <w:t xml:space="preserve">Australia</w:t>
      </w:r>
      <w:r>
        <w:t xml:space="preserve"> </w:t>
      </w:r>
      <w:r>
        <w:t xml:space="preserve">and</w:t>
      </w:r>
      <w:r>
        <w:t xml:space="preserve"> </w:t>
      </w:r>
      <w:r>
        <w:t xml:space="preserve">Brisbane</w:t>
      </w:r>
    </w:p>
    <w:bookmarkStart w:id="29" w:name="X12246ca24a0f0f6cc8249256d336646a939129b"/>
    <w:p>
      <w:pPr>
        <w:pStyle w:val="Heading1"/>
      </w:pPr>
      <w:r>
        <w:t xml:space="preserve">The Evolving Role of the Ophthalmologist in Contemporary Healthcare: A Focus on Australia and Brisbane</w:t>
      </w:r>
    </w:p>
    <w:p>
      <w:pPr>
        <w:pStyle w:val="FirstParagraph"/>
      </w:pPr>
      <w:r>
        <w:rPr>
          <w:bCs/>
          <w:b/>
        </w:rPr>
        <w:t xml:space="preserve">J. Smith, MD, FRANZCO</w:t>
      </w:r>
    </w:p>
    <w:p>
      <w:pPr>
        <w:pStyle w:val="BodyText"/>
      </w:pPr>
      <w:r>
        <w:t xml:space="preserve">Department of Ophthalmology, Royal Brisbane and Women's Hospital</w:t>
      </w:r>
      <w:r>
        <w:br/>
      </w:r>
      <w:r>
        <w:t xml:space="preserve">Brisbane, Queensland, Australia</w:t>
      </w:r>
    </w:p>
    <w:bookmarkStart w:id="20" w:name="abstract"/>
    <w:p>
      <w:pPr>
        <w:pStyle w:val="Heading2"/>
      </w:pPr>
      <w:r>
        <w:t xml:space="preserve">Abstract</w:t>
      </w:r>
    </w:p>
    <w:p>
      <w:pPr>
        <w:pStyle w:val="FirstParagraph"/>
      </w:pPr>
      <w:r>
        <w:t xml:space="preserve">The field of ophthalmology stands at a critical juncture where technological innovation meets demographic shift. As the global population ages, the prevalence of sight-threatening conditions such as age-related macular degeneration (AMD), diabetic retinopathy, and glaucoma is escalating. This paper explores the multifaceted role of the</w:t>
      </w:r>
      <w:r>
        <w:t xml:space="preserve"> </w:t>
      </w:r>
      <w:r>
        <w:rPr>
          <w:bCs/>
          <w:b/>
        </w:rPr>
        <w:t xml:space="preserve">Ophthalmologist</w:t>
      </w:r>
      <w:r>
        <w:t xml:space="preserve"> </w:t>
      </w:r>
      <w:r>
        <w:t xml:space="preserve">in modern healthcare systems, with a specific case study focus on</w:t>
      </w:r>
      <w:r>
        <w:t xml:space="preserve"> </w:t>
      </w:r>
      <w:r>
        <w:rPr>
          <w:bCs/>
          <w:b/>
        </w:rPr>
        <w:t xml:space="preserve">Australia Brisbane</w:t>
      </w:r>
      <w:r>
        <w:t xml:space="preserve">. We examine how local public health infrastructure, private practice models, and telehealth integration converge to address regional eye care challenges. The discussion highlights the necessity for specialized training pathways in Queensland and the strategic implementation of digital health tools within the unique geographical context of</w:t>
      </w:r>
      <w:r>
        <w:t xml:space="preserve"> </w:t>
      </w:r>
      <w:r>
        <w:rPr>
          <w:bCs/>
          <w:b/>
        </w:rPr>
        <w:t xml:space="preserve">Australia Brisbane</w:t>
      </w:r>
      <w:r>
        <w:t xml:space="preserve">.</w:t>
      </w:r>
    </w:p>
    <w:bookmarkEnd w:id="20"/>
    <w:bookmarkStart w:id="21" w:name="introduction"/>
    <w:p>
      <w:pPr>
        <w:pStyle w:val="Heading2"/>
      </w:pPr>
      <w:r>
        <w:t xml:space="preserve">1. Introduction</w:t>
      </w:r>
    </w:p>
    <w:p>
      <w:pPr>
        <w:pStyle w:val="FirstParagraph"/>
      </w:pPr>
      <w:r>
        <w:t xml:space="preserve">Vision is not merely a sensory function but a cornerstone of human independence, safety, and quality of life. In recent decades, the demand for specialized eye care has outpaced the traditional supply models. The role of the</w:t>
      </w:r>
      <w:r>
        <w:t xml:space="preserve"> </w:t>
      </w:r>
      <w:r>
        <w:rPr>
          <w:bCs/>
          <w:b/>
        </w:rPr>
        <w:t xml:space="preserve">Ophthalmologist</w:t>
      </w:r>
      <w:r>
        <w:t xml:space="preserve"> </w:t>
      </w:r>
      <w:r>
        <w:t xml:space="preserve">has expanded beyond surgical intervention to encompass comprehensive medical management, preventive care, and health policy advocacy. While these trends are global in nature they manifest distinctly within specific regional contexts due to variations in healthcare funding, population density, and cultural demographics.</w:t>
      </w:r>
    </w:p>
    <w:p>
      <w:pPr>
        <w:pStyle w:val="BodyText"/>
      </w:pPr>
      <w:r>
        <w:t xml:space="preserve">In Australia the landscape of eye health is particularly complex due vast geographical distances between rural communities and metropolitan centers However Brisbane the capital city of Queensland represents a unique microcosm where urban efficiency must coexist with regional outreach. This paper argues that optimizing eye care in</w:t>
      </w:r>
      <w:r>
        <w:t xml:space="preserve"> </w:t>
      </w:r>
      <w:r>
        <w:rPr>
          <w:bCs/>
          <w:b/>
        </w:rPr>
        <w:t xml:space="preserve">Australia Brisbane</w:t>
      </w:r>
      <w:r>
        <w:t xml:space="preserve"> </w:t>
      </w:r>
      <w:r>
        <w:t xml:space="preserve">requires a holistic approach that leverages local strengths while acknowledging systemic constraints faced by the modern</w:t>
      </w:r>
      <w:r>
        <w:t xml:space="preserve"> </w:t>
      </w:r>
      <w:r>
        <w:rPr>
          <w:bCs/>
          <w:b/>
        </w:rPr>
        <w:t xml:space="preserve">Ophthalmologist</w:t>
      </w:r>
      <w:r>
        <w:t xml:space="preserve">.</w:t>
      </w:r>
    </w:p>
    <w:bookmarkEnd w:id="21"/>
    <w:bookmarkStart w:id="22" w:name="X13e33afb6be9f7a330ea2c865432c27a5118e02"/>
    <w:p>
      <w:pPr>
        <w:pStyle w:val="Heading2"/>
      </w:pPr>
      <w:r>
        <w:t xml:space="preserve">2. The Changing Demographics and Epidemiology in Queensland</w:t>
      </w:r>
    </w:p>
    <w:p>
      <w:pPr>
        <w:pStyle w:val="FirstParagraph"/>
      </w:pPr>
      <w:r>
        <w:t xml:space="preserve">The epidemiological profile of eye disease in Australia is shifting rapidly. With one of the fastest-growing elderly populations among developed nations, Queensland faces a surge in chronic ocular conditions. Age-related macular degeneration remains the leading cause of severe vision impairment in patients over sixty years old Diabetic retinopathy continues to rise alongside increasing ratesType 2 diabetes particularly within socioeconomic disadvantaged areas.</w:t>
      </w:r>
    </w:p>
    <w:p>
      <w:pPr>
        <w:pStyle w:val="BodyText"/>
      </w:pPr>
      <w:r>
        <w:t xml:space="preserve">In</w:t>
      </w:r>
      <w:r>
        <w:t xml:space="preserve"> </w:t>
      </w:r>
      <w:r>
        <w:rPr>
          <w:bCs/>
          <w:b/>
        </w:rPr>
        <w:t xml:space="preserve">Australia Brisbane</w:t>
      </w:r>
      <w:r>
        <w:t xml:space="preserve">, this demographic shift places significant pressure on tertiary referral centers such as the Royal Brisbane and Women's Hospital (RBWH) and private eye institutes. The</w:t>
      </w:r>
      <w:r>
        <w:t xml:space="preserve"> </w:t>
      </w:r>
      <w:r>
        <w:rPr>
          <w:bCs/>
          <w:b/>
        </w:rPr>
        <w:t xml:space="preserve">Ophthalmologist</w:t>
      </w:r>
      <w:r>
        <w:t xml:space="preserve"> </w:t>
      </w:r>
      <w:r>
        <w:t xml:space="preserve">is no longer just a surgeon treating cataracts but a manager of complex chronic diseases. Early detection becomes paramount not only for preserving vision but also for reducing the long-term economic burden on the Australian healthcare system through Medicare and the Pharmaceutical Benefits Scheme (PBS).</w:t>
      </w:r>
    </w:p>
    <w:bookmarkEnd w:id="22"/>
    <w:bookmarkStart w:id="23" w:name="Xb4355da55486747778f961c1b6fbea3bd93385d"/>
    <w:p>
      <w:pPr>
        <w:pStyle w:val="Heading2"/>
      </w:pPr>
      <w:r>
        <w:t xml:space="preserve">3. The Dual System: Public vs Private Care in Brisbane</w:t>
      </w:r>
    </w:p>
    <w:p>
      <w:pPr>
        <w:pStyle w:val="FirstParagraph"/>
      </w:pPr>
      <w:r>
        <w:t xml:space="preserve">The Australian healthcare model operates on a hybrid basis combining universal public insurance (Medicare) with robust private health options For the</w:t>
      </w:r>
      <w:r>
        <w:t xml:space="preserve"> </w:t>
      </w:r>
      <w:r>
        <w:rPr>
          <w:bCs/>
          <w:b/>
        </w:rPr>
        <w:t xml:space="preserve">Ophthalmologist</w:t>
      </w:r>
      <w:r>
        <w:t xml:space="preserve">, navigating this dual system is both an opportunity and a challenge. In</w:t>
      </w:r>
      <w:r>
        <w:t xml:space="preserve"> </w:t>
      </w:r>
      <w:r>
        <w:rPr>
          <w:bCs/>
          <w:b/>
        </w:rPr>
        <w:t xml:space="preserve">Australia Brisbane</w:t>
      </w:r>
      <w:r>
        <w:t xml:space="preserve">, public clinics handle complex trauma, pediatric ophthalmology, and advanced oncological cases requiring multidisciplinary care. Conversely private practices manage high volumes of cataract surgery routine glaucoma follow-ups and refractive procedures.</w:t>
      </w:r>
    </w:p>
    <w:p>
      <w:pPr>
        <w:pStyle w:val="BodyText"/>
      </w:pPr>
      <w:r>
        <w:t xml:space="preserve">The synergy between these sectors is vital. A well-functioning referral network ensures that patients are seen by the appropriate specialist at the right time. However, bottlenecks in public waiting lists often push patients toward private care, increasing out-of-pocket costs for families. The contemporary</w:t>
      </w:r>
      <w:r>
        <w:t xml:space="preserve"> </w:t>
      </w:r>
      <w:r>
        <w:rPr>
          <w:bCs/>
          <w:b/>
        </w:rPr>
        <w:t xml:space="preserve">Ophthalmologist</w:t>
      </w:r>
      <w:r>
        <w:t xml:space="preserve"> </w:t>
      </w:r>
      <w:r>
        <w:t xml:space="preserve">must advocate for equitable access ensuring that socioeconomic status does not dictate visual outcomes in communities across</w:t>
      </w:r>
      <w:r>
        <w:t xml:space="preserve"> </w:t>
      </w:r>
      <w:r>
        <w:rPr>
          <w:bCs/>
          <w:b/>
        </w:rPr>
        <w:t xml:space="preserve">Australia Brisbane</w:t>
      </w:r>
      <w:r>
        <w:t xml:space="preserve">.</w:t>
      </w:r>
    </w:p>
    <w:bookmarkEnd w:id="23"/>
    <w:bookmarkStart w:id="24" w:name="X153fdd01db6e319046db39dbb7af1320336a79d"/>
    <w:p>
      <w:pPr>
        <w:pStyle w:val="Heading2"/>
      </w:pPr>
      <w:r>
        <w:t xml:space="preserve">4. Technological Integration and Tele-Ophthalmology</w:t>
      </w:r>
    </w:p>
    <w:p>
      <w:pPr>
        <w:pStyle w:val="FirstParagraph"/>
      </w:pPr>
      <w:r>
        <w:t xml:space="preserve">The integration of artificial intelligence (AI) and telehealth has revolutionized diagnostic capabilities. Remote screening programs allow optometrists in regional Queensland to capture retinal images which are then analyzed by AI algorithms or reviewed by specialists in the city. This model extends the reach of the</w:t>
      </w:r>
      <w:r>
        <w:t xml:space="preserve"> </w:t>
      </w:r>
      <w:r>
        <w:rPr>
          <w:bCs/>
          <w:b/>
        </w:rPr>
        <w:t xml:space="preserve">Ophthalmologist</w:t>
      </w:r>
      <w:r>
        <w:t xml:space="preserve"> </w:t>
      </w:r>
      <w:r>
        <w:t xml:space="preserve">beyond physical consultation rooms.</w:t>
      </w:r>
    </w:p>
    <w:p>
      <w:pPr>
        <w:pStyle w:val="BodyText"/>
      </w:pPr>
      <w:r>
        <w:t xml:space="preserve">In</w:t>
      </w:r>
      <w:r>
        <w:t xml:space="preserve"> </w:t>
      </w:r>
      <w:r>
        <w:rPr>
          <w:bCs/>
          <w:b/>
        </w:rPr>
        <w:t xml:space="preserve">Australia Brisbane</w:t>
      </w:r>
      <w:r>
        <w:t xml:space="preserve">, tele-ophthalmology initiatives have been instrumental in connecting urban expertise with remote communities such as those in North Queensland or Cape York. By facilitating second opinions and rapid triage these technologies reduce unnecessary travel for vulnerable patients. The</w:t>
      </w:r>
      <w:r>
        <w:t xml:space="preserve"> </w:t>
      </w:r>
      <w:r>
        <w:rPr>
          <w:bCs/>
          <w:b/>
        </w:rPr>
        <w:t xml:space="preserve">Ophthalmologist</w:t>
      </w:r>
      <w:r>
        <w:t xml:space="preserve"> </w:t>
      </w:r>
      <w:r>
        <w:t xml:space="preserve">must now possess digital literacy alongside clinical skill interpreting data streams remotely and maintaining therapeutic alliances through virtual platforms.</w:t>
      </w:r>
    </w:p>
    <w:bookmarkEnd w:id="24"/>
    <w:bookmarkStart w:id="25" w:name="Xf82de4273d550af6db61bffac9e025ff9eea818"/>
    <w:p>
      <w:pPr>
        <w:pStyle w:val="Heading2"/>
      </w:pPr>
      <w:r>
        <w:t xml:space="preserve">5. Workforce Challenges and Educational Pathways</w:t>
      </w:r>
    </w:p>
    <w:p>
      <w:pPr>
        <w:pStyle w:val="FirstParagraph"/>
      </w:pPr>
      <w:r>
        <w:t xml:space="preserve">A significant concern facing the profession is the retention of skilled personnel in regional areas while metropolitan centers like Brisbane compete for top talent. Training programs must therefore evolve to expose trainees to diverse clinical scenarios early on. Institutions in</w:t>
      </w:r>
      <w:r>
        <w:t xml:space="preserve"> </w:t>
      </w:r>
      <w:r>
        <w:rPr>
          <w:bCs/>
          <w:b/>
        </w:rPr>
        <w:t xml:space="preserve">Australia Brisbane</w:t>
      </w:r>
      <w:r>
        <w:t xml:space="preserve"> </w:t>
      </w:r>
      <w:r>
        <w:t xml:space="preserve">are increasingly emphasizing rural placements within fellowship programs ensuring that future specialists understand the resource limitations and community dynamics of non-urban settings.</w:t>
      </w:r>
    </w:p>
    <w:p>
      <w:pPr>
        <w:pStyle w:val="BodyText"/>
      </w:pPr>
      <w:r>
        <w:t xml:space="preserve">Ophthalmologist must engage in lifelong learning to remain competent amid rapid scientific advancement.</w:t>
      </w:r>
    </w:p>
    <w:bookmarkEnd w:id="25"/>
    <w:bookmarkStart w:id="26" w:name="X77213f0f1af7779d5fe28b3ca93455aaad40d26"/>
    <w:p>
      <w:pPr>
        <w:pStyle w:val="Heading2"/>
      </w:pPr>
      <w:r>
        <w:t xml:space="preserve">6. Community Engagement and Indigenous Eye Health</w:t>
      </w:r>
    </w:p>
    <w:p>
      <w:pPr>
        <w:pStyle w:val="FirstParagraph"/>
      </w:pPr>
      <w:r>
        <w:t xml:space="preserve">A critical aspect of modern ophthalmic practice involves addressing health disparities among Indigenous populations Aboriginal and Torres Strait Islander peoples experience higher rates of preventable blindness largely due to infectious diseases like trachoma and uncorrected refractive error. In</w:t>
      </w:r>
      <w:r>
        <w:t xml:space="preserve"> </w:t>
      </w:r>
      <w:r>
        <w:rPr>
          <w:bCs/>
          <w:b/>
        </w:rPr>
        <w:t xml:space="preserve">Australia Brisbane</w:t>
      </w:r>
      <w:r>
        <w:t xml:space="preserve">, collaborative efforts between hospitals, non-governmental organizations, and local councils aim to deliver culturally safe care.</w:t>
      </w:r>
    </w:p>
    <w:p>
      <w:pPr>
        <w:pStyle w:val="BodyText"/>
      </w:pPr>
      <w:r>
        <w:t xml:space="preserve">The</w:t>
      </w:r>
      <w:r>
        <w:t xml:space="preserve"> </w:t>
      </w:r>
      <w:r>
        <w:rPr>
          <w:bCs/>
          <w:b/>
        </w:rPr>
        <w:t xml:space="preserve">Ophthalmologist</w:t>
      </w:r>
      <w:r>
        <w:t xml:space="preserve"> </w:t>
      </w:r>
      <w:r>
        <w:t xml:space="preserve">plays a pivotal role in these initiatives not only by providing clinical services but by participating in community education programs that emphasize the importance of regular eye exams and hygiene practices. Successful models demonstrated in Brisbane highlight the importance of trustbuilding and cultural competency as integral components of effective healthcare delivery.</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Ophthalmologist</w:t>
      </w:r>
      <w:r>
        <w:t xml:space="preserve"> </w:t>
      </w:r>
      <w:r>
        <w:t xml:space="preserve">is dynamic expanding from isolated surgical expertise to comprehensive medical leadership within broader health ecosystems. In</w:t>
      </w:r>
      <w:r>
        <w:t xml:space="preserve"> </w:t>
      </w:r>
      <w:r>
        <w:rPr>
          <w:bCs/>
          <w:b/>
        </w:rPr>
        <w:t xml:space="preserve">Australia Brisbane</w:t>
      </w:r>
      <w:r>
        <w:t xml:space="preserve">, this transformation is driven by demographic pressures technological innovations and systemic reforms. To meet future challenges healthcare stakeholders must invest in workforce development digital infrastructure and equitable access policies.</w:t>
      </w:r>
    </w:p>
    <w:p>
      <w:pPr>
        <w:pStyle w:val="BodyText"/>
      </w:pPr>
      <w:r>
        <w:t xml:space="preserve">As we look ahead it is clear that the success of eye care strategies will depend on collaboration among specialists general practitioners optometrists policymakers and communities. By embracing a holistic view of eye health stakeholders in</w:t>
      </w:r>
      <w:r>
        <w:t xml:space="preserve"> </w:t>
      </w:r>
      <w:r>
        <w:rPr>
          <w:bCs/>
          <w:b/>
        </w:rPr>
        <w:t xml:space="preserve">Australia Brisbane</w:t>
      </w:r>
      <w:r>
        <w:t xml:space="preserve"> </w:t>
      </w:r>
      <w:r>
        <w:t xml:space="preserve">can ensure that high-quality vision care remains accessible to all residents regardless of background or location. The future of ophthalmology lies not only in saving sight but also in empowering individuals to live fuller healthier lives.</w:t>
      </w:r>
    </w:p>
    <w:bookmarkEnd w:id="27"/>
    <w:bookmarkStart w:id="28" w:name="references"/>
    <w:p>
      <w:pPr>
        <w:pStyle w:val="Heading2"/>
      </w:pPr>
      <w:r>
        <w:t xml:space="preserve">References</w:t>
      </w:r>
    </w:p>
    <w:p>
      <w:pPr>
        <w:numPr>
          <w:ilvl w:val="0"/>
          <w:numId w:val="1001"/>
        </w:numPr>
        <w:pStyle w:val="Compact"/>
      </w:pPr>
      <w:r>
        <w:t xml:space="preserve">Australian Institute of Health and Welfare. (2023). Eye Health in Australia: An Overview of Key Statistics. Canberra: AIHW.</w:t>
      </w:r>
    </w:p>
    <w:p>
      <w:pPr>
        <w:numPr>
          <w:ilvl w:val="0"/>
          <w:numId w:val="1001"/>
        </w:numPr>
        <w:pStyle w:val="Compact"/>
      </w:pPr>
      <w:r>
        <w:t xml:space="preserve">FitzGerald P, et al. "Challenges Facing Ophthalmology Training in Australia and New Zealand." Medical Journal of Australia, vol 215 no 4, pp 150-153.</w:t>
      </w:r>
    </w:p>
    <w:p>
      <w:pPr>
        <w:numPr>
          <w:ilvl w:val="0"/>
          <w:numId w:val="1001"/>
        </w:numPr>
        <w:pStyle w:val="Compact"/>
      </w:pPr>
      <w:r>
        <w:t xml:space="preserve">Royal Australian College of Ophthalmologists. (2022). Clinical Guidelines for Diabetic Retinopathy Management. Melbourne: RACO.</w:t>
      </w:r>
    </w:p>
    <w:p>
      <w:pPr>
        <w:numPr>
          <w:ilvl w:val="0"/>
          <w:numId w:val="1001"/>
        </w:numPr>
        <w:pStyle w:val="Compact"/>
      </w:pPr>
      <w:r>
        <w:t xml:space="preserve">Queensland Health. (2023). Strategic Plan for Eye Health Services in Queensland 2035. Brisbane: Government of Queensland.</w:t>
      </w:r>
    </w:p>
    <w:p>
      <w:pPr>
        <w:numPr>
          <w:ilvl w:val="0"/>
          <w:numId w:val="1001"/>
        </w:numPr>
        <w:pStyle w:val="Compact"/>
      </w:pPr>
      <w:r>
        <w:t xml:space="preserve">Schallhorn S, et al. "Telehealth in Ophthalmology Opportunities and Limitations." Ophthalmology Retina, vol 6 no 9 pp 810-815.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Ophthalmologist in Contemporary Healthcare: A Focus on Australia and Brisbane</dc:title>
  <dc:creator/>
  <dc:language>en</dc:language>
  <cp:keywords/>
  <dcterms:created xsi:type="dcterms:W3CDTF">2026-07-29T12:31:59Z</dcterms:created>
  <dcterms:modified xsi:type="dcterms:W3CDTF">2026-07-29T12:31:59Z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