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Ophthalmic</w:t>
      </w:r>
      <w:r>
        <w:t xml:space="preserve"> </w:t>
      </w:r>
      <w:r>
        <w:t xml:space="preserve">Care</w:t>
      </w:r>
      <w:r>
        <w:t xml:space="preserve"> </w:t>
      </w:r>
      <w:r>
        <w:t xml:space="preserve">in</w:t>
      </w:r>
      <w:r>
        <w:t xml:space="preserve"> </w:t>
      </w:r>
      <w:r>
        <w:t xml:space="preserve">a</w:t>
      </w:r>
      <w:r>
        <w:t xml:space="preserve"> </w:t>
      </w:r>
      <w:r>
        <w:t xml:space="preserve">Multicultural</w:t>
      </w:r>
      <w:r>
        <w:t xml:space="preserve"> </w:t>
      </w:r>
      <w:r>
        <w:t xml:space="preserve">Hub:</w:t>
      </w:r>
      <w:r>
        <w:t xml:space="preserve"> </w:t>
      </w:r>
      <w:r>
        <w:t xml:space="preserve">Challenges</w:t>
      </w:r>
      <w:r>
        <w:t xml:space="preserve"> </w:t>
      </w:r>
      <w:r>
        <w:t xml:space="preserve">and</w:t>
      </w:r>
      <w:r>
        <w:t xml:space="preserve"> </w:t>
      </w:r>
      <w:r>
        <w:t xml:space="preserve">Opportunities</w:t>
      </w:r>
      <w:r>
        <w:t xml:space="preserve"> </w:t>
      </w:r>
      <w:r>
        <w:t xml:space="preserve">for</w:t>
      </w:r>
      <w:r>
        <w:t xml:space="preserve"> </w:t>
      </w:r>
      <w:r>
        <w:t xml:space="preserve">Ophthalmologists</w:t>
      </w:r>
      <w:r>
        <w:t xml:space="preserve"> </w:t>
      </w:r>
      <w:r>
        <w:t xml:space="preserve">in</w:t>
      </w:r>
      <w:r>
        <w:t xml:space="preserve"> </w:t>
      </w:r>
      <w:r>
        <w:t xml:space="preserve">Australia</w:t>
      </w:r>
      <w:r>
        <w:t xml:space="preserve"> </w:t>
      </w:r>
      <w:r>
        <w:t xml:space="preserve">Melbourne</w:t>
      </w:r>
    </w:p>
    <w:bookmarkStart w:id="34" w:name="X223310db81277e8c8047e74d2c7c99c13ea60fb"/>
    <w:p>
      <w:pPr>
        <w:pStyle w:val="Heading1"/>
      </w:pPr>
      <w:r>
        <w:t xml:space="preserve">The Evolution of Ophthalmic Care in a Multicultural Hub:</w:t>
      </w:r>
      <w:r>
        <w:br/>
      </w:r>
      <w:r>
        <w:t xml:space="preserve">Challenges and Opportunities for Ophthalmologists in Australia Melbourne</w:t>
      </w:r>
    </w:p>
    <w:p>
      <w:pPr>
        <w:pStyle w:val="FirstParagraph"/>
      </w:pPr>
      <w:r>
        <w:rPr>
          <w:bCs/>
          <w:b/>
        </w:rPr>
        <w:t xml:space="preserve">Jane Doe, MD, FRCOphth</w:t>
      </w:r>
      <w:r>
        <w:br/>
      </w:r>
      <w:r>
        <w:t xml:space="preserve">Senior Consultant Ophthalmologist</w:t>
      </w:r>
      <w:r>
        <w:br/>
      </w:r>
      <w:r>
        <w:t xml:space="preserve">Department of Eye Health,</w:t>
      </w:r>
      <w:r>
        <w:br/>
      </w:r>
      <w:r>
        <w:t xml:space="preserve">Royal Victorian Eye and Hospital, Australia Melbourne</w:t>
      </w:r>
    </w:p>
    <w:bookmarkStart w:id="20" w:name="abstract"/>
    <w:p>
      <w:pPr>
        <w:pStyle w:val="Heading2"/>
      </w:pPr>
      <w:r>
        <w:t xml:space="preserve">Abstract</w:t>
      </w:r>
    </w:p>
    <w:p>
      <w:pPr>
        <w:pStyle w:val="FirstParagraph"/>
      </w:pPr>
      <w:r>
        <w:t xml:space="preserve">This paper examines the current landscape of ophthalmology within the specific socio-economic and demographic context of Australia Melbourne. As a rapidly growing metropolitan center with one of the highest proportions of multicultural residents in the Western world, Australia Melbourne presents unique challenges for healthcare delivery. This study analyzes how an</w:t>
      </w:r>
      <w:r>
        <w:t xml:space="preserve"> </w:t>
      </w:r>
      <w:r>
        <w:rPr>
          <w:bCs/>
          <w:b/>
        </w:rPr>
        <w:t xml:space="preserve">Ophthalmologist</w:t>
      </w:r>
      <w:r>
        <w:t xml:space="preserve"> </w:t>
      </w:r>
      <w:r>
        <w:t xml:space="preserve">must adapt clinical practices, technological integration, and patient communication strategies to serve this diverse population effectively. We discuss the rising prevalence of sight-threatening diseases such as diabetic retinopathy and age-related macular degeneration (AMD), the impact of telehealth post-pandemic, and the necessity for culturally competent care. The findings suggest that while high-tech interventions are crucial, the human element of an</w:t>
      </w:r>
      <w:r>
        <w:t xml:space="preserve"> </w:t>
      </w:r>
      <w:r>
        <w:rPr>
          <w:bCs/>
          <w:b/>
        </w:rPr>
        <w:t xml:space="preserve">Ophthalmologist</w:t>
      </w:r>
      <w:r>
        <w:t xml:space="preserve">—specifically regarding language accessibility and cultural sensitivity—is paramount to improving visual health outcomes in Australia Melbourne.</w:t>
      </w:r>
    </w:p>
    <w:bookmarkEnd w:id="20"/>
    <w:bookmarkStart w:id="21" w:name="introduction"/>
    <w:p>
      <w:pPr>
        <w:pStyle w:val="Heading2"/>
      </w:pPr>
      <w:r>
        <w:t xml:space="preserve">1. Introduction</w:t>
      </w:r>
    </w:p>
    <w:p>
      <w:pPr>
        <w:pStyle w:val="FirstParagraph"/>
      </w:pPr>
      <w:r>
        <w:t xml:space="preserve">The role of the modern medical specialist has expanded far beyond clinical diagnosis and treatment; it now encompasses a deep engagement with social determinants of health, technological innovation, and demographic shifts. In the context of eye care, no region exemplifies this complexity better than Australia Melbourne. As the cultural capital of Australia, Melbourne is characterized by its vibrant diversity, with over half of its residents born overseas or having at least one parent born overseas. For an</w:t>
      </w:r>
      <w:r>
        <w:t xml:space="preserve"> </w:t>
      </w:r>
      <w:r>
        <w:rPr>
          <w:bCs/>
          <w:b/>
        </w:rPr>
        <w:t xml:space="preserve">Ophthalmologist</w:t>
      </w:r>
      <w:r>
        <w:t xml:space="preserve"> </w:t>
      </w:r>
      <w:r>
        <w:t xml:space="preserve">practicing in this environment, understanding the local context is not merely a soft skill but a clinical necessity.</w:t>
      </w:r>
    </w:p>
    <w:p>
      <w:pPr>
        <w:pStyle w:val="BodyText"/>
      </w:pPr>
      <w:r>
        <w:t xml:space="preserve">The demand for ophthalmic services in Australia Melbourne has surged due to two converging factors: an aging population and a high prevalence of lifestyle-related ocular conditions. Furthermore, the specific geographic and healthcare infrastructure of Australia Melbourne dictates how services are accessed. This paper explores these dynamics, arguing that the future of successful ophthalmology in this region depends on a hybrid model that combines cutting-edge technology with deeply rooted community engagement.</w:t>
      </w:r>
    </w:p>
    <w:bookmarkEnd w:id="21"/>
    <w:bookmarkStart w:id="24" w:name="X063bab09fc2e3c2578dc45b482d22f0d62f5358"/>
    <w:p>
      <w:pPr>
        <w:pStyle w:val="Heading2"/>
      </w:pPr>
      <w:r>
        <w:t xml:space="preserve">2. Demographic Pressures and Epidemiological Shifts</w:t>
      </w:r>
    </w:p>
    <w:p>
      <w:pPr>
        <w:pStyle w:val="FirstParagraph"/>
      </w:pPr>
      <w:r>
        <w:t xml:space="preserve">An aging demographic is a significant driver of eye disease globally, but its impact is particularly acute in established metropolitan areas like Australia Melbourne. Conditions such as glaucoma, cataracts, and age-related macular degeneration require lifelong management. However, the epidemiological profile in this region is further complicated by the specific health profiles of migrant communities.</w:t>
      </w:r>
    </w:p>
    <w:bookmarkStart w:id="22" w:name="Xc1d69e23281ccaa071c68a5be77c303812bfca8"/>
    <w:p>
      <w:pPr>
        <w:pStyle w:val="Heading3"/>
      </w:pPr>
      <w:r>
        <w:t xml:space="preserve">2.1 Diabetic Retinopathy in Multicultural Communities</w:t>
      </w:r>
    </w:p>
    <w:p>
      <w:pPr>
        <w:pStyle w:val="FirstParagraph"/>
      </w:pPr>
      <w:r>
        <w:t xml:space="preserve">Australia Melbourne has high rates of Type 2 diabetes, disproportionately affecting certain culturally and linguistically diverse (CALD) groups. For an</w:t>
      </w:r>
      <w:r>
        <w:t xml:space="preserve"> </w:t>
      </w:r>
      <w:r>
        <w:rPr>
          <w:bCs/>
          <w:b/>
        </w:rPr>
        <w:t xml:space="preserve">Ophthalmologist</w:t>
      </w:r>
      <w:r>
        <w:t xml:space="preserve">, diabetic retinopathy is not just a clinical diagnosis but a public health challenge. Patients from backgrounds where English is a second language may struggle to understand the chronic nature of diabetes management, leading to delayed presentations and poorer visual outcomes. Addressing this requires more than laser therapy or anti-VEGF injections; it requires an</w:t>
      </w:r>
      <w:r>
        <w:t xml:space="preserve"> </w:t>
      </w:r>
      <w:r>
        <w:rPr>
          <w:bCs/>
          <w:b/>
        </w:rPr>
        <w:t xml:space="preserve">Ophthalmologist</w:t>
      </w:r>
      <w:r>
        <w:t xml:space="preserve"> </w:t>
      </w:r>
      <w:r>
        <w:t xml:space="preserve">who can collaborate with community health workers and utilize professional interpreters to ensure compliance and understanding.</w:t>
      </w:r>
    </w:p>
    <w:bookmarkEnd w:id="22"/>
    <w:bookmarkStart w:id="23" w:name="X558de8d585ba3bd8a310bd117bb9ab6f2f3a1ff"/>
    <w:p>
      <w:pPr>
        <w:pStyle w:val="Heading3"/>
      </w:pPr>
      <w:r>
        <w:t xml:space="preserve">2.2 Genetic Predispositions in Specific Ethnic Groups</w:t>
      </w:r>
    </w:p>
    <w:p>
      <w:pPr>
        <w:pStyle w:val="FirstParagraph"/>
      </w:pPr>
      <w:r>
        <w:t xml:space="preserve">The genetic makeup of the population in Australia Melbourne is diverse. Certain ethnic groups have higher predispositions to specific ocular conditions, such as angle-closure glaucoma among Asian-Australians. An effective</w:t>
      </w:r>
      <w:r>
        <w:t xml:space="preserve"> </w:t>
      </w:r>
      <w:r>
        <w:rPr>
          <w:bCs/>
          <w:b/>
        </w:rPr>
        <w:t xml:space="preserve">Ophthalmologist</w:t>
      </w:r>
      <w:r>
        <w:t xml:space="preserve"> </w:t>
      </w:r>
      <w:r>
        <w:t xml:space="preserve">must possess the knowledge to screen for these conditions early, recognizing that standard screening protocols may need adjustment based on the patient's ethnic background.</w:t>
      </w:r>
    </w:p>
    <w:bookmarkEnd w:id="23"/>
    <w:bookmarkEnd w:id="24"/>
    <w:bookmarkStart w:id="27" w:name="X153fdd01db6e319046db39dbb7af1320336a79d"/>
    <w:p>
      <w:pPr>
        <w:pStyle w:val="Heading2"/>
      </w:pPr>
      <w:r>
        <w:t xml:space="preserve">3. Technological Integration and Tele-Ophthalmology</w:t>
      </w:r>
    </w:p>
    <w:p>
      <w:pPr>
        <w:pStyle w:val="FirstParagraph"/>
      </w:pPr>
      <w:r>
        <w:t xml:space="preserve">Innovation is at the heart of modern ophthalmology. In Australia Melbourne, the adoption of AI-driven diagnostics and telemedicine has been accelerated by recent global health events. For an</w:t>
      </w:r>
      <w:r>
        <w:t xml:space="preserve"> </w:t>
      </w:r>
      <w:r>
        <w:rPr>
          <w:bCs/>
          <w:b/>
        </w:rPr>
        <w:t xml:space="preserve">Ophthalmologist</w:t>
      </w:r>
      <w:r>
        <w:t xml:space="preserve">, these tools offer the promise of extending reach beyond the city center to regional Victoria and even remote communities.</w:t>
      </w:r>
    </w:p>
    <w:bookmarkStart w:id="25" w:name="the-role-of-ai-in-screening"/>
    <w:p>
      <w:pPr>
        <w:pStyle w:val="Heading3"/>
      </w:pPr>
      <w:r>
        <w:t xml:space="preserve">3.1 The Role of AI in Screening</w:t>
      </w:r>
    </w:p>
    <w:p>
      <w:pPr>
        <w:pStyle w:val="FirstParagraph"/>
      </w:pPr>
      <w:r>
        <w:t xml:space="preserve">Artificial Intelligence algorithms are now capable of detecting diabetic retinopathy and AMD from fundus photographs with accuracy comparable to human specialists. In a busy hub like Australia Melbourne, this allows an</w:t>
      </w:r>
      <w:r>
        <w:t xml:space="preserve"> </w:t>
      </w:r>
      <w:r>
        <w:rPr>
          <w:bCs/>
          <w:b/>
        </w:rPr>
        <w:t xml:space="preserve">Ophthalmologist</w:t>
      </w:r>
      <w:r>
        <w:t xml:space="preserve"> </w:t>
      </w:r>
      <w:r>
        <w:t xml:space="preserve">to triage patients more effectively, prioritizing those with advanced disease while managing stable cases remotely. This efficiency is crucial in maintaining service levels amidst high demand.</w:t>
      </w:r>
    </w:p>
    <w:bookmarkEnd w:id="25"/>
    <w:bookmarkStart w:id="26" w:name="X565cc64dde1a8ed0c1ac6770bbe46f33349ccde"/>
    <w:p>
      <w:pPr>
        <w:pStyle w:val="Heading3"/>
      </w:pPr>
      <w:r>
        <w:t xml:space="preserve">3.2 Telehealth Limitations in a Diverse Context</w:t>
      </w:r>
    </w:p>
    <w:p>
      <w:pPr>
        <w:pStyle w:val="FirstParagraph"/>
      </w:pPr>
      <w:r>
        <w:t xml:space="preserve">While technology advances, the digital divide remains a concern. Elderly patients or those from lower socio-economic backgrounds in Australia Melbourne may lack the broadband infrastructure or digital literacy to engage with tele-consultations effectively. An</w:t>
      </w:r>
      <w:r>
        <w:t xml:space="preserve"> </w:t>
      </w:r>
      <w:r>
        <w:rPr>
          <w:bCs/>
          <w:b/>
        </w:rPr>
        <w:t xml:space="preserve">Ophthalmologist</w:t>
      </w:r>
      <w:r>
        <w:t xml:space="preserve"> </w:t>
      </w:r>
      <w:r>
        <w:t xml:space="preserve">must therefore balance high-tech solutions with traditional face-to-face care, ensuring that technological convenience does not lead to exclusion of vulnerable populations.</w:t>
      </w:r>
    </w:p>
    <w:bookmarkEnd w:id="26"/>
    <w:bookmarkEnd w:id="27"/>
    <w:bookmarkStart w:id="30" w:name="the-imperative-of-cultural-competence"/>
    <w:p>
      <w:pPr>
        <w:pStyle w:val="Heading2"/>
      </w:pPr>
      <w:r>
        <w:t xml:space="preserve">4. The Imperative of Cultural Competence</w:t>
      </w:r>
    </w:p>
    <w:p>
      <w:pPr>
        <w:pStyle w:val="FirstParagraph"/>
      </w:pPr>
      <w:r>
        <w:t xml:space="preserve">The term "patient-centered care" is often used, but in a multicultural city like Australia Melbourne, it must be interpreted through the lens of cultural competence. Communication barriers are not merely logistical; they are ethical and clinical issues. Misunderstandings regarding consent, treatment risks, or post-operative care can have severe consequences.</w:t>
      </w:r>
    </w:p>
    <w:bookmarkStart w:id="28" w:name="language-services"/>
    <w:p>
      <w:pPr>
        <w:pStyle w:val="Heading3"/>
      </w:pPr>
      <w:r>
        <w:t xml:space="preserve">4.1 Language Services</w:t>
      </w:r>
    </w:p>
    <w:p>
      <w:pPr>
        <w:pStyle w:val="FirstParagraph"/>
      </w:pPr>
      <w:r>
        <w:t xml:space="preserve">Hospitals and private practices in Australia Melbourne that employ qualified interpreters see better adherence to treatment plans. An</w:t>
      </w:r>
      <w:r>
        <w:t xml:space="preserve"> </w:t>
      </w:r>
      <w:r>
        <w:rPr>
          <w:bCs/>
          <w:b/>
        </w:rPr>
        <w:t xml:space="preserve">Ophthalmologist</w:t>
      </w:r>
      <w:r>
        <w:t xml:space="preserve"> </w:t>
      </w:r>
      <w:r>
        <w:t xml:space="preserve">who relies on family members, particularly children, for interpretation breaches ethical boundaries and risks clinical error. Investing in professional language services is an investment in patient safety.</w:t>
      </w:r>
    </w:p>
    <w:bookmarkEnd w:id="28"/>
    <w:bookmarkStart w:id="29" w:name="trust-and-community-engagement"/>
    <w:p>
      <w:pPr>
        <w:pStyle w:val="Heading3"/>
      </w:pPr>
      <w:r>
        <w:t xml:space="preserve">4.2 Trust and Community Engagement</w:t>
      </w:r>
    </w:p>
    <w:p>
      <w:pPr>
        <w:pStyle w:val="FirstParagraph"/>
      </w:pPr>
      <w:r>
        <w:t xml:space="preserve">Marginalized communities may harbor mistrust toward medical institutions due to historical or systemic factors. Building trust requires proactive engagement. Ophthalmologists who participate in community health fairs, collaborate with local religious centers, and offer materials in multiple languages foster a sense of inclusion. This approach not only improves individual patient outcomes but also enhances the reputation of ophthalmic services across Australia Melbourne.</w:t>
      </w:r>
    </w:p>
    <w:bookmarkEnd w:id="29"/>
    <w:bookmarkEnd w:id="30"/>
    <w:bookmarkStart w:id="31" w:name="X99b3fc23dc239e919791e35728eeeeafe71592a"/>
    <w:p>
      <w:pPr>
        <w:pStyle w:val="Heading2"/>
      </w:pPr>
      <w:r>
        <w:t xml:space="preserve">5. Economic Considerations and Healthcare Policy</w:t>
      </w:r>
    </w:p>
    <w:p>
      <w:pPr>
        <w:pStyle w:val="FirstParagraph"/>
      </w:pPr>
      <w:r>
        <w:t xml:space="preserve">The Australian healthcare system, governed largely by Medicare, provides a safety net but also imposes constraints on private practice. For an</w:t>
      </w:r>
      <w:r>
        <w:t xml:space="preserve"> </w:t>
      </w:r>
      <w:r>
        <w:rPr>
          <w:bCs/>
          <w:b/>
        </w:rPr>
        <w:t xml:space="preserve">Ophthalmologist</w:t>
      </w:r>
      <w:r>
        <w:t xml:space="preserve">, navigating the rebate structure is essential for sustainability. In Australia Melbourne, where the cost of living is high and competition among specialists is fierce, financial viability allows for investment in better equipment and staff.</w:t>
      </w:r>
    </w:p>
    <w:p>
      <w:pPr>
        <w:pStyle w:val="BodyText"/>
      </w:pPr>
      <w:r>
        <w:t xml:space="preserve">However, policy must evolve to support preventative care. Currently, the fee-for-service model incentivizes procedure-based work over education. An ideal framework would reward an</w:t>
      </w:r>
      <w:r>
        <w:t xml:space="preserve"> </w:t>
      </w:r>
      <w:r>
        <w:rPr>
          <w:bCs/>
          <w:b/>
        </w:rPr>
        <w:t xml:space="preserve">Ophthalmologist</w:t>
      </w:r>
      <w:r>
        <w:t xml:space="preserve"> </w:t>
      </w:r>
      <w:r>
        <w:t xml:space="preserve">for preventive interventions that reduce the burden of advanced eye disease on the public hospital system in Australia Melbourne.</w:t>
      </w:r>
    </w:p>
    <w:bookmarkEnd w:id="31"/>
    <w:bookmarkStart w:id="32" w:name="conclusion"/>
    <w:p>
      <w:pPr>
        <w:pStyle w:val="Heading2"/>
      </w:pPr>
      <w:r>
        <w:t xml:space="preserve">6. Conclusion</w:t>
      </w:r>
    </w:p>
    <w:p>
      <w:pPr>
        <w:pStyle w:val="FirstParagraph"/>
      </w:pPr>
      <w:r>
        <w:t xml:space="preserve">The practice of ophthalmology in Australia Melbourne is at a crossroads. The demographic diversity, aging population, and rapid technological change present both significant challenges and unprecedented opportunities. An</w:t>
      </w:r>
      <w:r>
        <w:t xml:space="preserve"> </w:t>
      </w:r>
      <w:r>
        <w:rPr>
          <w:bCs/>
          <w:b/>
        </w:rPr>
        <w:t xml:space="preserve">Ophthalmologist</w:t>
      </w:r>
      <w:r>
        <w:t xml:space="preserve"> </w:t>
      </w:r>
      <w:r>
        <w:t xml:space="preserve">today cannot rely solely on clinical expertise; they must be adept communicators, culturally sensitive educators, and savvy navigators of the digital healthcare landscape.</w:t>
      </w:r>
    </w:p>
    <w:p>
      <w:pPr>
        <w:pStyle w:val="BodyText"/>
      </w:pPr>
      <w:r>
        <w:t xml:space="preserve">To maintain high standards of eye health in Australia Melbourne, we must advocate for a holistic approach to ophthalmology. This includes integrating AI for efficiency while preserving human touch for empathy; expanding telehealth with safeguards against digital exclusion; and prioritizing cultural competence in every patient interaction. By embracing these strategies, the ophthalmic community can ensure that all residents of Australia Melbourne, regardless of their background or socioeconomic status, have access to equitable and effective eye care. The future of the</w:t>
      </w:r>
      <w:r>
        <w:t xml:space="preserve"> </w:t>
      </w:r>
      <w:r>
        <w:rPr>
          <w:bCs/>
          <w:b/>
        </w:rPr>
        <w:t xml:space="preserve">Ophthalmologist</w:t>
      </w:r>
      <w:r>
        <w:t xml:space="preserve"> </w:t>
      </w:r>
      <w:r>
        <w:t xml:space="preserve">in this region is bright, provided we remain adaptable and inclusive in our practice.</w:t>
      </w:r>
    </w:p>
    <w:bookmarkEnd w:id="32"/>
    <w:bookmarkStart w:id="33" w:name="references"/>
    <w:p>
      <w:pPr>
        <w:pStyle w:val="Heading2"/>
      </w:pPr>
      <w:r>
        <w:t xml:space="preserve">References</w:t>
      </w:r>
    </w:p>
    <w:p>
      <w:pPr>
        <w:pStyle w:val="FirstParagraph"/>
      </w:pPr>
      <w:r>
        <w:rPr>
          <w:iCs/>
          <w:i/>
        </w:rPr>
        <w:t xml:space="preserve">(Note: References would be listed here in a formal academic submission format, citing studies on diabetes prevalence in Melbourne, telehealth efficacy studies from Australian medical journals, and demographic data from the Australian Bureau of Statistics.)</w:t>
      </w:r>
    </w:p>
    <w:p>
      <w:pPr>
        <w:numPr>
          <w:ilvl w:val="0"/>
          <w:numId w:val="1001"/>
        </w:numPr>
        <w:pStyle w:val="Compact"/>
      </w:pPr>
      <w:r>
        <w:t xml:space="preserve">Australian Institute of Health and Welfare. (2023). Eye health in Australia.</w:t>
      </w:r>
    </w:p>
    <w:p>
      <w:pPr>
        <w:numPr>
          <w:ilvl w:val="0"/>
          <w:numId w:val="1001"/>
        </w:numPr>
        <w:pStyle w:val="Compact"/>
      </w:pPr>
      <w:r>
        <w:t xml:space="preserve">Census Data Australia Melbourne Demographics. (2021). Australian Bureau of Statistics.</w:t>
      </w:r>
    </w:p>
    <w:p>
      <w:pPr>
        <w:numPr>
          <w:ilvl w:val="0"/>
          <w:numId w:val="1001"/>
        </w:numPr>
        <w:pStyle w:val="Compact"/>
      </w:pPr>
      <w:r>
        <w:t xml:space="preserve">Royal Victorian Eye and Hospital Annual Report. (2023).</w:t>
      </w:r>
    </w:p>
    <w:p>
      <w:pPr>
        <w:numPr>
          <w:ilvl w:val="0"/>
          <w:numId w:val="1001"/>
        </w:numPr>
        <w:pStyle w:val="Compact"/>
      </w:pPr>
      <w:r>
        <w:t xml:space="preserve">National Health and Medical Research Council Guidelines on Culturally Appropriate Health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Ophthalmic Care in a Multicultural Hub: Challenges and Opportunities for Ophthalmologists in Australia Melbourne</dc:title>
  <dc:creator/>
  <cp:keywords/>
  <dcterms:created xsi:type="dcterms:W3CDTF">2026-07-29T09:40:16Z</dcterms:created>
  <dcterms:modified xsi:type="dcterms:W3CDTF">2026-07-29T09:40:16Z</dcterms:modified>
</cp:coreProperties>
</file>

<file path=docProps/custom.xml><?xml version="1.0" encoding="utf-8"?>
<Properties xmlns="http://schemas.openxmlformats.org/officeDocument/2006/custom-properties" xmlns:vt="http://schemas.openxmlformats.org/officeDocument/2006/docPropsVTypes"/>
</file>