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Modern</w:t>
      </w:r>
      <w:r>
        <w:t xml:space="preserve"> </w:t>
      </w:r>
      <w:r>
        <w:t xml:space="preserve">Eye</w:t>
      </w:r>
      <w:r>
        <w:t xml:space="preserve"> </w:t>
      </w:r>
      <w:r>
        <w:t xml:space="preserve">Care:</w:t>
      </w:r>
      <w:r>
        <w:t xml:space="preserve"> </w:t>
      </w:r>
      <w:r>
        <w:t xml:space="preserve">A</w:t>
      </w:r>
      <w:r>
        <w:t xml:space="preserve"> </w:t>
      </w:r>
      <w:r>
        <w:t xml:space="preserve">Conference</w:t>
      </w:r>
      <w:r>
        <w:t xml:space="preserve"> </w:t>
      </w:r>
      <w:r>
        <w:t xml:space="preserve">Paper</w:t>
      </w:r>
      <w:r>
        <w:t xml:space="preserve"> </w:t>
      </w:r>
      <w:r>
        <w:t xml:space="preserve">for</w:t>
      </w:r>
      <w:r>
        <w:t xml:space="preserve"> </w:t>
      </w:r>
      <w:r>
        <w:t xml:space="preserve">Australia</w:t>
      </w:r>
      <w:r>
        <w:t xml:space="preserve"> </w:t>
      </w:r>
      <w:r>
        <w:t xml:space="preserve">Sydney</w:t>
      </w:r>
    </w:p>
    <w:bookmarkStart w:id="29" w:name="X20f1d26e94f0ee2e7b068fb10d82e31b995030e"/>
    <w:p>
      <w:pPr>
        <w:pStyle w:val="Heading1"/>
      </w:pPr>
      <w:r>
        <w:t xml:space="preserve">The Role of the Ophthalmologist in Modern Eye Care:</w:t>
      </w:r>
      <w:r>
        <w:br/>
      </w:r>
      <w:r>
        <w:t xml:space="preserve">A Conference Paper for Australia Sydney</w:t>
      </w:r>
    </w:p>
    <w:p>
      <w:pPr>
        <w:pStyle w:val="FirstParagraph"/>
      </w:pPr>
      <w:r>
        <w:rPr>
          <w:bCs/>
          <w:b/>
        </w:rPr>
        <w:t xml:space="preserve">Presentation for the Australian Ophthalmological Society Annual Scientific Meeting</w:t>
      </w:r>
      <w:r>
        <w:br/>
      </w:r>
      <w:r>
        <w:rPr>
          <w:bCs/>
          <w:b/>
        </w:rPr>
        <w:t xml:space="preserve">Venue: International Convention Centre, Sydney, NSW</w:t>
      </w:r>
      <w:r>
        <w:br/>
      </w:r>
      <w:r>
        <w:rPr>
          <w:bCs/>
          <w:b/>
        </w:rPr>
        <w:t xml:space="preserve">Date: October 2024</w:t>
      </w:r>
    </w:p>
    <w:bookmarkStart w:id="20" w:name="abstract"/>
    <w:p>
      <w:pPr>
        <w:pStyle w:val="Heading3"/>
      </w:pPr>
      <w:r>
        <w:t xml:space="preserve">Abstract</w:t>
      </w:r>
    </w:p>
    <w:p>
      <w:pPr>
        <w:pStyle w:val="FirstParagraph"/>
      </w:pPr>
      <w:r>
        <w:t xml:space="preserve">This paper examines the evolving role of the ophthalmologist within the healthcare ecosystem of Australia Sydney. As urban centers in Australia continue to expand, so too does the complexity of ocular health challenges faced by diverse populations. This conference paper outlines current trends in glaucoma management, retinal disease intervention, and telemedicine integration specific to Sydney’s metropolitan context. Furthermore, it addresses the socio-economic disparities affecting indigenous communities and regional access to specialized ophthalmological care across New South Wales.</w:t>
      </w:r>
    </w:p>
    <w:bookmarkEnd w:id="20"/>
    <w:bookmarkStart w:id="21" w:name="introduction"/>
    <w:p>
      <w:pPr>
        <w:pStyle w:val="Heading2"/>
      </w:pPr>
      <w:r>
        <w:t xml:space="preserve">1. Introduction</w:t>
      </w:r>
    </w:p>
    <w:p>
      <w:pPr>
        <w:pStyle w:val="FirstParagraph"/>
      </w:pPr>
      <w:r>
        <w:t xml:space="preserve">The field of ophthalmology has undergone a profound transformation over the last two decades. For an ophthalmologist practicing today, particularly within a dynamic hub like Australia Sydney, the scope of practice extends far beyond refractive error correction and cataract extraction. Sydney, as the capital city of New South Wales and a major global gateway, presents unique epidemiological patterns regarding eye health due to its multicultural demographic and high population density.</w:t>
      </w:r>
    </w:p>
    <w:p>
      <w:pPr>
        <w:pStyle w:val="BodyText"/>
      </w:pPr>
      <w:r>
        <w:t xml:space="preserve">This conference paper aims to contextualize the work of the ophthalmologist not merely as a clinician, but as a critical component of public health infrastructure in Australia Sydney. We must consider how technological advancements, such as optical coherence tomography (OCT) and artificial intelligence (AI) diagnostics, are reshaping patient outcomes. Moreover, we must address the logistical challenges of providing equitable care across the greater Sydney basin and extending services to regional areas.</w:t>
      </w:r>
    </w:p>
    <w:bookmarkEnd w:id="21"/>
    <w:bookmarkStart w:id="22" w:name="X9348421344d9d7339287a83e1026fdb108ddbb2"/>
    <w:p>
      <w:pPr>
        <w:pStyle w:val="Heading2"/>
      </w:pPr>
      <w:r>
        <w:t xml:space="preserve">2. The Epidemiological Landscape in Australia Sydney</w:t>
      </w:r>
    </w:p>
    <w:p>
      <w:pPr>
        <w:pStyle w:val="FirstParagraph"/>
      </w:pPr>
      <w:r>
        <w:t xml:space="preserve">Australia Sydney boasts one of the highest rates of UV exposure globally, contributing significantly to pterygium formation, cataracts, and age-related macular degeneration (AMD). The demographic shift in Australia Sydney is also notable; an aging population necessitates a robust ophthalmological framework capable of managing chronic conditions. Glaucoma remains a leading cause of irreversible blindness in this region, requiring early detection protocols that are often managed by the ophthalmologist.</w:t>
      </w:r>
    </w:p>
    <w:p>
      <w:pPr>
        <w:pStyle w:val="BodyText"/>
      </w:pPr>
      <w:r>
        <w:t xml:space="preserve">Furthermore, the prevalence of diabetes in Australia has reached epidemic proportions. Diabetic retinopathy is now a primary concern for every ophthalmologist treating patients in Sydney’s hospital systems and private practices. The intersection of systemic metabolic health and ocular integrity demands that the ophthalmologist collaborate closely with endocrinologists and general practitioners to provide holistic care.</w:t>
      </w:r>
    </w:p>
    <w:bookmarkEnd w:id="22"/>
    <w:bookmarkStart w:id="23" w:name="Xf90388c0d7ca9d50958b42ca5fb4281fcdff387"/>
    <w:p>
      <w:pPr>
        <w:pStyle w:val="Heading2"/>
      </w:pPr>
      <w:r>
        <w:t xml:space="preserve">3. Technological Integration and Surgical Innovation</w:t>
      </w:r>
    </w:p>
    <w:p>
      <w:pPr>
        <w:pStyle w:val="FirstParagraph"/>
      </w:pPr>
      <w:r>
        <w:t xml:space="preserve">Innovation is at the forefront of modern ophthalmology. For an ophthalmologist in Australia Sydney, access to cutting-edge technology is both an advantage and a responsibility. Femtosecond laser-assisted cataract surgery has become standard in many high-volume centers, offering precision that traditional phacoemulsification cannot match. However, the cost-benefit analysis of these technologies remains a topic of intense discussion within our professional community.</w:t>
      </w:r>
    </w:p>
    <w:p>
      <w:pPr>
        <w:pStyle w:val="BodyText"/>
      </w:pPr>
      <w:r>
        <w:t xml:space="preserve">In retinal care, the introduction of anti-VEGF (vascular endothelial growth factor) therapies has revolutionized the treatment of wet AMD and diabetic macular edema. The ophthalmologist must now manage long-term injection regimes, ensuring compliance and monitoring for side effects such as endophthalmitis or intraocular pressure spikes. Additionally, gene therapy trials are emerging on the horizon, promising potential cures for inherited retinal dystrophies—a field where Australia Sydney is actively contributing to international research consortia.</w:t>
      </w:r>
    </w:p>
    <w:bookmarkEnd w:id="23"/>
    <w:bookmarkStart w:id="24" w:name="health-equity-and-indigenous-eye-health"/>
    <w:p>
      <w:pPr>
        <w:pStyle w:val="Heading2"/>
      </w:pPr>
      <w:r>
        <w:t xml:space="preserve">4. Health Equity and Indigenous Eye Health</w:t>
      </w:r>
    </w:p>
    <w:p>
      <w:pPr>
        <w:pStyle w:val="FirstParagraph"/>
      </w:pPr>
      <w:r>
        <w:t xml:space="preserve">A critical aspect of any conference paper discussing ophthalmology in Australia must address health equity. Aboriginal and Torres Strait Islander peoples experience a disproportionately high burden of preventable blindness. In the context of Australia Sydney, which serves as a hub for patients traveling from rural New South Wales and beyond, the ophthalmologist plays a pivotal role in outreach initiatives.</w:t>
      </w:r>
    </w:p>
    <w:p>
      <w:pPr>
        <w:pStyle w:val="BodyText"/>
      </w:pPr>
      <w:r>
        <w:t xml:space="preserve">Cultural safety in clinical settings is paramount. An ophthalmologist must be trained not only in surgical techniques but also in culturally competent communication. Programs that facilitate "eye camps" or mobile clinics targeting remote communities are essential. However, the sustainability of these programs relies on strong referral pathways back to tertiary centers in Australia Sydney, ensuring continuity of care for complex post-operative management.</w:t>
      </w:r>
    </w:p>
    <w:bookmarkEnd w:id="24"/>
    <w:bookmarkStart w:id="25" w:name="Xd04f85f73034dd0e18e27ea2797f1843d2a7861"/>
    <w:p>
      <w:pPr>
        <w:pStyle w:val="Heading2"/>
      </w:pPr>
      <w:r>
        <w:t xml:space="preserve">5. The Impact of Telemedicine and Digital Health</w:t>
      </w:r>
    </w:p>
    <w:p>
      <w:pPr>
        <w:pStyle w:val="FirstParagraph"/>
      </w:pPr>
      <w:r>
        <w:t xml:space="preserve">The pandemic accelerated the adoption of telehealth across all medical disciplines, including ophthalmology. For an ophthalmologist based in Australia Sydney, telemedicine offers a mechanism to triage patients efficiently and provide follow-up care without requiring excessive travel for elderly or mobility-impaired individuals. AI-driven screening tools can now identify diabetic retinopathy from retinal photographs, allowing optometrists in primary care settings to refer only high-risk cases to the ophthalmologist.</w:t>
      </w:r>
    </w:p>
    <w:p>
      <w:pPr>
        <w:pStyle w:val="BodyText"/>
      </w:pPr>
      <w:r>
        <w:t xml:space="preserve">This shift does not replace the need for physical examination but rather optimizes it. The ophthalmologist becomes a specialist consultant, verifying diagnoses and determining surgical urgency based on digital data transmitted from rural clinics. This model is particularly relevant for Australia Sydney’s extended health catchment areas, bridging the urban-rural divide.</w:t>
      </w:r>
    </w:p>
    <w:bookmarkEnd w:id="25"/>
    <w:bookmarkStart w:id="26" w:name="challenges-in-resource-allocation"/>
    <w:p>
      <w:pPr>
        <w:pStyle w:val="Heading2"/>
      </w:pPr>
      <w:r>
        <w:t xml:space="preserve">6. Challenges in Resource Allocation</w:t>
      </w:r>
    </w:p>
    <w:p>
      <w:pPr>
        <w:pStyle w:val="FirstParagraph"/>
      </w:pPr>
      <w:r>
        <w:t xml:space="preserve">Despite technological advancements, resource allocation remains a significant challenge. Public hospital ophthalmology departments in Australia Sydney face long waiting lists for non-urgent surgeries such as cataract procedures for complex cases or pediatric strabismus correction. The private sector alleviates some pressure but introduces socioeconomic barriers to access.</w:t>
      </w:r>
    </w:p>
    <w:p>
      <w:pPr>
        <w:pStyle w:val="BodyText"/>
      </w:pPr>
      <w:r>
        <w:t xml:space="preserve">The ophthalmologist must navigate this dual system, advocating for policy changes that ensure timely access to sight-saving interventions regardless of a patient’s financial status. Collaboration between the Royal Australian and New Zealand College of Ophthalmologists (RANZCO) and government health departments is essential to streamline pathways and reduce backlogs.</w:t>
      </w:r>
    </w:p>
    <w:bookmarkEnd w:id="26"/>
    <w:bookmarkStart w:id="27" w:name="X1e96deb966ba6916d82cb93c763949b4a6247df"/>
    <w:p>
      <w:pPr>
        <w:pStyle w:val="Heading2"/>
      </w:pPr>
      <w:r>
        <w:t xml:space="preserve">7. Future Directions for the Ophthalmologist</w:t>
      </w:r>
    </w:p>
    <w:p>
      <w:pPr>
        <w:pStyle w:val="FirstParagraph"/>
      </w:pPr>
      <w:r>
        <w:t xml:space="preserve">Looking ahead, the role of the ophthalmologist will continue to expand. With increasing environmental pollution in urban centers like Australia Sydney, we anticipate a rise in ocular surface diseases and allergic conjunctivitis. Personalized medicine, guided by genetic profiling, may soon allow for tailored treatments for glaucoma and AMD.</w:t>
      </w:r>
    </w:p>
    <w:p>
      <w:pPr>
        <w:pStyle w:val="BodyText"/>
      </w:pPr>
      <w:r>
        <w:t xml:space="preserve">Education is also key. The ophthalmologist must mentor the next generation of specialists while educating the public about eye health prevention. Campaigns focused on UV protection, diabetes management, and regular sight checks are vital components of preventive strategy.</w:t>
      </w:r>
    </w:p>
    <w:bookmarkEnd w:id="27"/>
    <w:bookmarkStart w:id="28" w:name="conclusion"/>
    <w:p>
      <w:pPr>
        <w:pStyle w:val="Heading2"/>
      </w:pPr>
      <w:r>
        <w:t xml:space="preserve">8. Conclusion</w:t>
      </w:r>
    </w:p>
    <w:p>
      <w:pPr>
        <w:pStyle w:val="FirstParagraph"/>
      </w:pPr>
      <w:r>
        <w:t xml:space="preserve">In conclusion, the ophthalmologist in Australia Sydney stands at the intersection of advanced medical technology and complex public health needs. From managing age-related degenerative diseases to addressing disparities in indigenous eye health, the scope of practice is vast and impactful.</w:t>
      </w:r>
    </w:p>
    <w:p>
      <w:pPr>
        <w:pStyle w:val="BodyText"/>
      </w:pPr>
      <w:r>
        <w:t xml:space="preserve">This conference paper underscores that effective ophthalmology requires a multifaceted approach: clinical excellence, technological adaptability, cultural competence, and systemic advocacy. As we move forward, collaboration among ophthalmologists, optometrists, primary care providers, and policymakers in Australia Sydney will be crucial to ensuring that vision loss is prevented and treated effectively for all citizens.</w:t>
      </w:r>
    </w:p>
    <w:p>
      <w:pPr>
        <w:pStyle w:val="BodyText"/>
      </w:pPr>
      <w:r>
        <w:t xml:space="preserve">The future of eye care in our region depends on our ability to integrate these elements seamlessly. It is the collective responsibility of every ophthalmologist present here today to champion these ideals, ensuring that sight remains accessible and protected for the diverse population we 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Modern Eye Care: A Conference Paper for Australia Sydney</dc:title>
  <dc:creator/>
  <dc:language>en</dc:language>
  <cp:keywords/>
  <dcterms:created xsi:type="dcterms:W3CDTF">2026-07-29T12:45:00Z</dcterms:created>
  <dcterms:modified xsi:type="dcterms:W3CDTF">2026-07-29T12:45:00Z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