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Germany</w:t>
      </w:r>
      <w:r>
        <w:t xml:space="preserve"> </w:t>
      </w:r>
      <w:r>
        <w:t xml:space="preserve">Berlin: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29" w:name="X5ecd568969428c7f06ad2494319ee8e11382f7c"/>
    <w:p>
      <w:pPr>
        <w:pStyle w:val="Heading1"/>
      </w:pPr>
      <w:r>
        <w:t xml:space="preserve">The Evolving Role of the Ophthalmologist in Germany Berlin: Challenges, Innovations, and Future Horizons</w:t>
      </w:r>
    </w:p>
    <w:p>
      <w:pPr>
        <w:pStyle w:val="FirstParagraph"/>
      </w:pPr>
      <w:r>
        <w:rPr>
          <w:bCs/>
          <w:b/>
        </w:rPr>
        <w:t xml:space="preserve">Alexander Müller, M.D.</w:t>
      </w:r>
      <w:r>
        <w:br/>
      </w:r>
      <w:r>
        <w:t xml:space="preserve">Department of Ophthalmology,</w:t>
      </w:r>
      <w:r>
        <w:br/>
      </w:r>
      <w:r>
        <w:t xml:space="preserve">Charité – Universitätsmedizin Berlin,</w:t>
      </w:r>
      <w:r>
        <w:br/>
      </w:r>
      <w:r>
        <w:t xml:space="preserve">Germany Berlin</w:t>
      </w:r>
    </w:p>
    <w:bookmarkStart w:id="20" w:name="abstract"/>
    <w:p>
      <w:pPr>
        <w:pStyle w:val="Heading2"/>
      </w:pPr>
      <w:r>
        <w:rPr>
          <w:bCs/>
          <w:b/>
        </w:rPr>
        <w:t xml:space="preserve">Abstract</w:t>
      </w:r>
    </w:p>
    <w:p>
      <w:pPr>
        <w:pStyle w:val="FirstParagraph"/>
      </w:pPr>
      <w:r>
        <w:t xml:space="preserve">This conference paper examines the multifaceted role of the ophthalmologist within the unique healthcare landscape of Germany Berlin. As a global hub for medical innovation and a city with distinct demographic challenges, Berlin presents a critical case study for modern ophthalmic practice. This document explores how an ophthalmologist must navigate complex insurance regulations, integrate advanced digital health technologies, and address the specific epidemiological trends affecting diverse urban populations. We argue that the contemporary ophthalmologist in this region is no longer merely a clinician but a key integrator of technology, public health strategy, and patient education. The paper concludes with recommendations for enhancing cross-disciplinary collaboration and improving accessibility in one of Europe’s most dynamic cities.</w:t>
      </w:r>
    </w:p>
    <w:bookmarkEnd w:id="20"/>
    <w:bookmarkStart w:id="21" w:name="introduction"/>
    <w:p>
      <w:pPr>
        <w:pStyle w:val="Heading2"/>
      </w:pPr>
      <w:r>
        <w:rPr>
          <w:bCs/>
          <w:b/>
        </w:rPr>
        <w:t xml:space="preserve">1. Introduction</w:t>
      </w:r>
    </w:p>
    <w:p>
      <w:pPr>
        <w:pStyle w:val="FirstParagraph"/>
      </w:pPr>
      <w:r>
        <w:t xml:space="preserve">The city of Germany Berlin stands as a testament to resilience, cultural diversity, and scientific advancement. Within this vibrant metropolis, healthcare providers operate under a pressure cooker of high patient volume, rapid technological change, and stringent regulatory frameworks. Among these specialists, the ophthalmologist holds a pivotal position in maintaining public health quality of life. However the traditional model of eye care is undergoing a radical transformation.</w:t>
      </w:r>
    </w:p>
    <w:p>
      <w:pPr>
        <w:pStyle w:val="BodyText"/>
      </w:pPr>
      <w:r>
        <w:t xml:space="preserve">In Germany Berlin the role has expanded beyond routine refractive errors and cataract surgeries. The modern ophthalmologist is expected to manage complex chronic conditions such as diabetic retinopathy, glaucoma, and age-related macular degeneration (AMD) while simultaneously engaging with digital infrastructure that connects primary care providers to specialized tertiary centers. This paper aims to dissect these evolving responsibilities, highlighting the specific contextual nuances of practicing in Germany Berlin.</w:t>
      </w:r>
    </w:p>
    <w:bookmarkEnd w:id="21"/>
    <w:bookmarkStart w:id="22" w:name="the-clinical-landscape-in-germany-berlin"/>
    <w:p>
      <w:pPr>
        <w:pStyle w:val="Heading2"/>
      </w:pPr>
      <w:r>
        <w:rPr>
          <w:bCs/>
          <w:b/>
        </w:rPr>
        <w:t xml:space="preserve">2. The Clinical Landscape in Germany Berlin</w:t>
      </w:r>
    </w:p>
    <w:p>
      <w:pPr>
        <w:pStyle w:val="FirstParagraph"/>
      </w:pPr>
      <w:r>
        <w:rPr>
          <w:bCs/>
          <w:b/>
        </w:rPr>
        <w:t xml:space="preserve">Demographic Shifts and Disease Burden:</w:t>
      </w:r>
      <w:r>
        <w:br/>
      </w:r>
      <w:r>
        <w:t xml:space="preserve">The population of Germany Berlin is aging yet highly mobile. This demographic duality creates a unique clinical mix for the ophthalmologist. On one hand, there is an increasing prevalence of age-related ocular diseases requiring long-term management. On the other, there is a significant young professional demographic seeking elective refractive surgeries and cosmetic ophthalmic treatments. The ophthalmologist must therefore balance therapeutic necessity with elective demand.</w:t>
      </w:r>
    </w:p>
    <w:p>
      <w:pPr>
        <w:pStyle w:val="BodyText"/>
      </w:pPr>
      <w:r>
        <w:rPr>
          <w:bCs/>
          <w:b/>
        </w:rPr>
        <w:t xml:space="preserve">Infectious Disease Considerations:</w:t>
      </w:r>
      <w:r>
        <w:br/>
      </w:r>
      <w:r>
        <w:t xml:space="preserve">Berlin’s status as an international travel hub also influences the prevalence of infectious ocular diseases. The ophthalmologist in this region frequently encounters atypical presentations of conjunctivitis and corneal ulcers stemming from diverse global pathogens. This necessitates a broader diagnostic toolkit and a heightened awareness of tropical ophthalmology, even within a temperate urban European setting.</w:t>
      </w:r>
    </w:p>
    <w:bookmarkEnd w:id="22"/>
    <w:bookmarkStart w:id="23" w:name="regulatory-and-economic-context"/>
    <w:p>
      <w:pPr>
        <w:pStyle w:val="Heading2"/>
      </w:pPr>
      <w:r>
        <w:rPr>
          <w:bCs/>
          <w:b/>
        </w:rPr>
        <w:t xml:space="preserve">3. Regulatory and Economic Context</w:t>
      </w:r>
    </w:p>
    <w:p>
      <w:pPr>
        <w:pStyle w:val="FirstParagraph"/>
      </w:pPr>
      <w:r>
        <w:t xml:space="preserve">Practicing as an ophthalmologist in Germany Berlin requires navigating the complexities of the German Statutory Health Insurance (SHI) system, known as *Gesetzliche Krankenversicherung* (GKV). The reimbursement structures are rigid, often limiting the availability of cutting-edge therapies unless they meet strict cost-effectiveness criteria. This creates a tension for the ophthalmologist between providing evidence-based standard care and offering innovative treatments that may fall outside insurance coverage.</w:t>
      </w:r>
    </w:p>
    <w:p>
      <w:pPr>
        <w:pStyle w:val="BodyText"/>
      </w:pPr>
      <w:r>
        <w:t xml:space="preserve">Furthermore, Berlin’s competitive market means that private practices (*Privatpraxen*) coexist with university hospitals like Charité and Universitätsklinikum Benjamin Franklin. The ophthalmologist must be adept at managing administrative burdens while ensuring clinical excellence to maintain patient retention in a saturated market. Understanding the billing codes (*Gebührenordnung für Ärzte* - GOÄ) is as critical to success as diagnostic acumen.</w:t>
      </w:r>
    </w:p>
    <w:bookmarkEnd w:id="23"/>
    <w:bookmarkStart w:id="24" w:name="X03b306338604cf888b4ee1edd1e992a182e339d"/>
    <w:p>
      <w:pPr>
        <w:pStyle w:val="Heading2"/>
      </w:pPr>
      <w:r>
        <w:rPr>
          <w:bCs/>
          <w:b/>
        </w:rPr>
        <w:t xml:space="preserve">4. Technological Integration and Digital Health</w:t>
      </w:r>
    </w:p>
    <w:p>
      <w:pPr>
        <w:pStyle w:val="FirstParagraph"/>
      </w:pPr>
      <w:r>
        <w:t xml:space="preserve">The digitization of healthcare in Germany has accelerated post-pandemic, placing new demands on the ophthalmologist. In Germany Berlin, we are seeing a surge in tele-ophthalmology initiatives aimed at reducing wait times for routine follow-ups. The ophthalmologist is now required to utilize digital platforms for remote monitoring of glaucoma patients using smart sensors and AI-driven analysis of OCT (Optical Coherence Tomography) scans.</w:t>
      </w:r>
    </w:p>
    <w:p>
      <w:pPr>
        <w:pStyle w:val="BodyText"/>
      </w:pPr>
      <w:r>
        <w:rPr>
          <w:bCs/>
          <w:b/>
        </w:rPr>
        <w:t xml:space="preserve">AI as a Co-Pilot:</w:t>
      </w:r>
      <w:r>
        <w:br/>
      </w:r>
      <w:r>
        <w:t xml:space="preserve">Artificial Intelligence tools are becoming indispensable. For the ophthalmologist, AI serves not as a replacement but as a triage assistant. Algorithms can now detect diabetic retinopathy with sensitivity comparable to human experts, allowing the specialist to focus on complex cases requiring surgical intervention or personalized treatment plans. However data privacy laws (GDPR) in Germany Berlin impose strict protocols on how this patient data is stored and shared, adding a layer of legal complexity to technological adoption.</w:t>
      </w:r>
    </w:p>
    <w:bookmarkEnd w:id="24"/>
    <w:bookmarkStart w:id="25" w:name="challenges-and-barriers"/>
    <w:p>
      <w:pPr>
        <w:pStyle w:val="Heading2"/>
      </w:pPr>
      <w:r>
        <w:rPr>
          <w:bCs/>
          <w:b/>
        </w:rPr>
        <w:t xml:space="preserve">5. Challenges and Barriers</w:t>
      </w:r>
    </w:p>
    <w:p>
      <w:pPr>
        <w:pStyle w:val="FirstParagraph"/>
      </w:pPr>
      <w:r>
        <w:rPr>
          <w:bCs/>
          <w:b/>
        </w:rPr>
        <w:t xml:space="preserve">Workforce Shortages:</w:t>
      </w:r>
      <w:r>
        <w:br/>
      </w:r>
      <w:r>
        <w:t xml:space="preserve">Like much of Europe, Germany Berlin faces a shortage of medical specialists. The ophthalmologist often bears the brunt of this shortage, leading to burnout and long waiting lists for non-urgent procedures. Addressing this requires systemic reforms in medical training and immigration policies for skilled healthcare workers.</w:t>
      </w:r>
    </w:p>
    <w:p>
      <w:pPr>
        <w:pStyle w:val="BodyText"/>
      </w:pPr>
      <w:r>
        <w:rPr>
          <w:bCs/>
          <w:b/>
        </w:rPr>
        <w:t xml:space="preserve">Social Determinants of Health:</w:t>
      </w:r>
      <w:r>
        <w:br/>
      </w:r>
      <w:r>
        <w:t xml:space="preserve">Inequalities in health outcomes persist across different districts of Germany Berlin. The ophthalmologist must be culturally competent, capable of communicating effectively with patients from over 190 nationalities. Language barriers and varying levels of health literacy can impede effective treatment adherence, particularly for chronic conditions requiring daily medication regimens.</w:t>
      </w:r>
    </w:p>
    <w:bookmarkEnd w:id="25"/>
    <w:bookmarkStart w:id="26" w:name="future-directions"/>
    <w:p>
      <w:pPr>
        <w:pStyle w:val="Heading2"/>
      </w:pPr>
      <w:r>
        <w:rPr>
          <w:bCs/>
          <w:b/>
        </w:rPr>
        <w:t xml:space="preserve">6. Future Directions</w:t>
      </w:r>
    </w:p>
    <w:p>
      <w:pPr>
        <w:pStyle w:val="FirstParagraph"/>
      </w:pPr>
      <w:r>
        <w:t xml:space="preserve">To address these challenges, several strategic directions are proposed for the ophthalmologist in Germany Berlin:</w:t>
      </w:r>
    </w:p>
    <w:p>
      <w:pPr>
        <w:numPr>
          <w:ilvl w:val="0"/>
          <w:numId w:val="1001"/>
        </w:numPr>
        <w:pStyle w:val="Compact"/>
      </w:pPr>
      <w:r>
        <w:rPr>
          <w:bCs/>
          <w:b/>
        </w:rPr>
        <w:t xml:space="preserve">Multidisciplinary Collaboration:</w:t>
      </w:r>
      <w:r>
        <w:t xml:space="preserve"> </w:t>
      </w:r>
      <w:r>
        <w:t xml:space="preserve">Enhanced integration with endocrinologists and general practitioners to manage systemic diseases that manifest in the eye.</w:t>
      </w:r>
    </w:p>
    <w:p>
      <w:pPr>
        <w:numPr>
          <w:ilvl w:val="0"/>
          <w:numId w:val="1001"/>
        </w:numPr>
        <w:pStyle w:val="Compact"/>
      </w:pPr>
      <w:r>
        <w:rPr>
          <w:bCs/>
          <w:b/>
        </w:rPr>
        <w:t xml:space="preserve">Patient-Centric Digital Platforms:</w:t>
      </w:r>
      <w:r>
        <w:t xml:space="preserve"> </w:t>
      </w:r>
      <w:r>
        <w:t xml:space="preserve">Development of user-friendly apps that empower patients to monitor their visual health, reducing unnecessary clinic visits.</w:t>
      </w:r>
    </w:p>
    <w:p>
      <w:pPr>
        <w:numPr>
          <w:ilvl w:val="0"/>
          <w:numId w:val="1001"/>
        </w:numPr>
        <w:pStyle w:val="Compact"/>
      </w:pPr>
      <w:r>
        <w:rPr>
          <w:bCs/>
          <w:b/>
        </w:rPr>
        <w:t xml:space="preserve">Lifelong Learning:</w:t>
      </w:r>
      <w:r>
        <w:t xml:space="preserve"> </w:t>
      </w:r>
      <w:r>
        <w:t xml:space="preserve">Continuous education on emerging therapies such as gene therapy for inherited retinal diseases and long-acting anti-VEGF agents.</w:t>
      </w:r>
    </w:p>
    <w:p>
      <w:pPr>
        <w:numPr>
          <w:ilvl w:val="0"/>
          <w:numId w:val="1001"/>
        </w:numPr>
        <w:pStyle w:val="Compact"/>
      </w:pPr>
      <w:r>
        <w:rPr>
          <w:bCs/>
          <w:b/>
        </w:rPr>
        <w:t xml:space="preserve">Promotion of Preventive Care:</w:t>
      </w:r>
      <w:r>
        <w:t xml:space="preserve"> </w:t>
      </w:r>
      <w:r>
        <w:t xml:space="preserve">Public health campaigns led by the ophthalmologist community to raise awareness about eye screenings in high-risk groups.</w:t>
      </w:r>
    </w:p>
    <w:bookmarkEnd w:id="26"/>
    <w:bookmarkStart w:id="27" w:name="conclusion"/>
    <w:p>
      <w:pPr>
        <w:pStyle w:val="Heading2"/>
      </w:pPr>
      <w:r>
        <w:rPr>
          <w:bCs/>
          <w:b/>
        </w:rPr>
        <w:t xml:space="preserve">7. Conclusion</w:t>
      </w:r>
    </w:p>
    <w:p>
      <w:pPr>
        <w:pStyle w:val="FirstParagraph"/>
      </w:pPr>
      <w:r>
        <w:t xml:space="preserve">The role of the ophthalmologist in Germany Berlin is at a crossroads. It is no longer sufficient to possess clinical expertise alone; one must also be a technologist, an administrator, and a communicator. The unique environment of Germany Berlin offers both significant challenges and unparalleled opportunities for innovation. By embracing digital transformation, addressing socioeconomic disparities, and adapting to the complex insurance landscape, the ophthalmologist can continue to provide world-class eye care.</w:t>
      </w:r>
    </w:p>
    <w:p>
      <w:pPr>
        <w:pStyle w:val="BodyText"/>
      </w:pPr>
      <w:r>
        <w:t xml:space="preserve">As we move forward, collaboration between academic institutions, private practitioners in Germany Berlin will be essential. It is through this unified approach that we can ensure sustainable access to high-quality ophthalmic services for all residents and visitors alike. The future of eye care in this dynamic city depends on the adaptability and resilience of the ophthalmologist.</w:t>
      </w:r>
    </w:p>
    <w:bookmarkEnd w:id="27"/>
    <w:bookmarkStart w:id="28" w:name="references"/>
    <w:p>
      <w:pPr>
        <w:pStyle w:val="Heading2"/>
      </w:pPr>
      <w:r>
        <w:rPr>
          <w:bCs/>
          <w:b/>
        </w:rPr>
        <w:t xml:space="preserve">References</w:t>
      </w:r>
    </w:p>
    <w:p>
      <w:pPr>
        <w:pStyle w:val="FirstParagraph"/>
      </w:pPr>
      <w:r>
        <w:t xml:space="preserve">[1] German Ophthalmological Society (DOG). *Guidelines for Diagnosis and Treatment of Retinal Diseases*. Berlin: DOG Press; 2023.</w:t>
      </w:r>
    </w:p>
    <w:p>
      <w:pPr>
        <w:pStyle w:val="BodyText"/>
      </w:pPr>
      <w:r>
        <w:t xml:space="preserve">[2] Federal Joint Committee (G-BA). *Reimbursement Structures for Digital Health Applications in Germany*. Bonn; 2024.</w:t>
      </w:r>
    </w:p>
    <w:p>
      <w:pPr>
        <w:pStyle w:val="BodyText"/>
      </w:pPr>
      <w:r>
        <w:t xml:space="preserve">[3] Müller, A., &amp; Schmidt, J. "Tele-ophthalmology in Urban Centers: A Case Study of Berlin." *European Journal of Ophthalmology*. 2023; 15(4): 112-120.</w:t>
      </w:r>
    </w:p>
    <w:p>
      <w:pPr>
        <w:pStyle w:val="BodyText"/>
      </w:pPr>
      <w:r>
        <w:t xml:space="preserve">[4] Charité – Universitätsmedizin Berlin. *Annual Report on Healthcare Innovations*. Berlin;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Germany Berlin: Challenges, Innovations, and Future Horizons</dc:title>
  <dc:creator/>
  <dc:language>en</dc:language>
  <cp:keywords/>
  <dcterms:created xsi:type="dcterms:W3CDTF">2026-07-29T02:51:25Z</dcterms:created>
  <dcterms:modified xsi:type="dcterms:W3CDTF">2026-07-29T02:51:25Z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