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Conference</w:t>
      </w:r>
      <w:r>
        <w:t xml:space="preserve"> </w:t>
      </w:r>
      <w:r>
        <w:t xml:space="preserve">Paper</w:t>
      </w:r>
    </w:p>
    <w:bookmarkStart w:id="32" w:name="Xa673c1d896c625296ec6878d186a85386608747"/>
    <w:p>
      <w:pPr>
        <w:pStyle w:val="Heading1"/>
      </w:pPr>
      <w:r>
        <w:t xml:space="preserve">The Evolving Role of the Ophthalmologist in Germany Frankfurt:</w:t>
      </w:r>
      <w:r>
        <w:br/>
      </w:r>
      <w:r>
        <w:t xml:space="preserve">A Conference Paper on Modern Ocular Care and Public Health Integration</w:t>
      </w:r>
    </w:p>
    <w:p>
      <w:pPr>
        <w:pStyle w:val="FirstParagraph"/>
      </w:pPr>
      <w:r>
        <w:rPr>
          <w:bCs/>
          <w:b/>
        </w:rPr>
        <w:t xml:space="preserve">Presented at the International Symposium on Visual Health</w:t>
      </w:r>
      <w:r>
        <w:br/>
      </w:r>
      <w:r>
        <w:t xml:space="preserve">Focus Region: Germany Frankfurt</w:t>
      </w:r>
      <w:r>
        <w:br/>
      </w:r>
      <w:r>
        <w:t xml:space="preserve">Date: October 2023</w:t>
      </w:r>
    </w:p>
    <w:bookmarkStart w:id="20" w:name="abstract"/>
    <w:p>
      <w:pPr>
        <w:pStyle w:val="Heading2"/>
      </w:pPr>
      <w:r>
        <w:t xml:space="preserve">Abstract</w:t>
      </w:r>
    </w:p>
    <w:p>
      <w:pPr>
        <w:pStyle w:val="FirstParagraph"/>
      </w:pPr>
      <w:r>
        <w:t xml:space="preserve">This paper explores the critical and expanding role of the Ophthalmologist within the specific healthcare and socio-economic context of Germany Frankfurt. As one of Europe’s major financial hubs and a dense urban center, Frankfurt presents unique challenges regarding public health, particularly concerning digital eye strain, age-related macular degeneration (AMD), and diabetic retinopathy. This document analyzes how the modern Ophthalmologist must adapt to these local demands while integrating advanced technological solutions into routine practice. Furthermore, it discusses the regulatory framework in Germany Frankfurt that influences patient access and the necessity for interdisciplinary collaboration. The findings suggest that a proactive, community-integrated approach by the Ophthalmologist is essential for maintaining high standards of visual health in this dynamic German metropolis.</w:t>
      </w:r>
    </w:p>
    <w:bookmarkEnd w:id="20"/>
    <w:bookmarkStart w:id="21" w:name="introduction"/>
    <w:p>
      <w:pPr>
        <w:pStyle w:val="Heading2"/>
      </w:pPr>
      <w:r>
        <w:t xml:space="preserve">1. Introduction</w:t>
      </w:r>
    </w:p>
    <w:p>
      <w:pPr>
        <w:pStyle w:val="FirstParagraph"/>
      </w:pPr>
      <w:r>
        <w:t xml:space="preserve">The landscape of ophthalmology in Germany Frankfurt has undergone significant transformation over the last two decades. Frankfurt am Main, often referred to as "Mainhattan" due to its skyline, is not only a gateway for international commerce but also a microcosm of modern societal challenges. For the Ophthalmologist practicing in this region, the patient demographic is diverse, ranging from highly stressed corporate professionals to an aging population requiring complex geriatric eye care. This paper aims to delineate these specific challenges and propose strategic adaptations for specialists operating within Germany Frankfurt.</w:t>
      </w:r>
    </w:p>
    <w:p>
      <w:pPr>
        <w:pStyle w:val="BodyText"/>
      </w:pPr>
      <w:r>
        <w:t xml:space="preserve">The title of this discussion centers on the Ophthalmologist because they remain the primary guardians of ocular health. However, in a bustling city like Germany Frankfurt, their role extends beyond clinical diagnosis and surgical intervention. They act as public health advocates, educators, and tech-integration leaders. Understanding the local epidemiology of eye diseases in Germany Frankfurt is crucial for optimizing resource allocation and patient outcomes.</w:t>
      </w:r>
    </w:p>
    <w:bookmarkEnd w:id="21"/>
    <w:bookmarkStart w:id="24" w:name="X761882870ef50b9b6dc229310f66c71d62aeec7"/>
    <w:p>
      <w:pPr>
        <w:pStyle w:val="Heading2"/>
      </w:pPr>
      <w:r>
        <w:t xml:space="preserve">2. Epidemiological Context in Germany Frankfurt</w:t>
      </w:r>
    </w:p>
    <w:p>
      <w:pPr>
        <w:pStyle w:val="FirstParagraph"/>
      </w:pPr>
      <w:r>
        <w:t xml:space="preserve">The prevalence of sight-threatening conditions in urban environments like Germany Frankfurt differs from rural areas due to lifestyle factors, environmental exposures, and demographic density. The Ophthalmologist must be acutely aware of the high incidence of myopia among younger populations in this region, driven by prolonged screen time in educational and professional settings.</w:t>
      </w:r>
    </w:p>
    <w:bookmarkStart w:id="22" w:name="X6db291387bb674ee2d8adc861ec4615b42ee3d6"/>
    <w:p>
      <w:pPr>
        <w:pStyle w:val="Heading3"/>
      </w:pPr>
      <w:r>
        <w:t xml:space="preserve">2.1 Digital Eye Strain and Occupational Health</w:t>
      </w:r>
    </w:p>
    <w:p>
      <w:pPr>
        <w:pStyle w:val="FirstParagraph"/>
      </w:pPr>
      <w:r>
        <w:t xml:space="preserve">In Germany Frankfurt, a significant portion of the workforce is employed in finance, logistics, and technology sectors. These professions are characterized by extensive use of digital displays. The Ophthalmologist frequently encounters patients suffering from Computer Vision Syndrome (CVS), also known as digital eye strain. Symptoms include dry eyes, blurred vision, and neck pain. It is imperative that the Ophthalmologist in Germany Frankfurt integrates preventive counseling regarding screen hygiene into routine check-ups, emphasizing the 20-20-20 rule and proper workstation ergonomics.</w:t>
      </w:r>
    </w:p>
    <w:bookmarkEnd w:id="22"/>
    <w:bookmarkStart w:id="23" w:name="X03170c7b38dc4d222c7392e5eaa832a453afb5f"/>
    <w:p>
      <w:pPr>
        <w:pStyle w:val="Heading3"/>
      </w:pPr>
      <w:r>
        <w:t xml:space="preserve">2.2 Age-Related Macular Degeneration (AMD) and Diabetes</w:t>
      </w:r>
    </w:p>
    <w:p>
      <w:pPr>
        <w:pStyle w:val="FirstParagraph"/>
      </w:pPr>
      <w:r>
        <w:t xml:space="preserve">Aging populations in developed regions like Germany Frankfurt contribute to a rising prevalence of AMD and diabetic retinopathy. As life expectancy increases, the demand for specialized treatments such as anti-VEGF injections for wet AMD becomes more pronounced. The Ophthalmologist must ensure that these treatments are accessible through the German statutory health insurance system, requiring rigorous documentation and adherence to national guidelines specific to Germany Frankfurt’s healthcare providers.</w:t>
      </w:r>
    </w:p>
    <w:bookmarkEnd w:id="23"/>
    <w:bookmarkEnd w:id="24"/>
    <w:bookmarkStart w:id="25" w:name="X81819af0ac5234d1c1418be6290ac315c52c2bb"/>
    <w:p>
      <w:pPr>
        <w:pStyle w:val="Heading2"/>
      </w:pPr>
      <w:r>
        <w:t xml:space="preserve">3. Technological Integration and Diagnostic Precision</w:t>
      </w:r>
    </w:p>
    <w:p>
      <w:pPr>
        <w:pStyle w:val="FirstParagraph"/>
      </w:pPr>
      <w:r>
        <w:t xml:space="preserve">The modern Ophthalmologist in Germany Frankfurt operates at the forefront of medical technology. The city’s status as a financial center allows for greater investment in cutting-edge diagnostic equipment. Optical Coherence Tomography (OCT), wide-field retinal imaging, and automated perimetry are standard tools that enhance diagnostic accuracy.</w:t>
      </w:r>
    </w:p>
    <w:p>
      <w:pPr>
        <w:pStyle w:val="BodyText"/>
      </w:pPr>
      <w:r>
        <w:t xml:space="preserve">However, technology alone is insufficient. The Ophthalmologist must interpret these data streams within the context of the patient’s overall health. In Germany Frankfurt, where telemedicine has gained traction post-pandemic, remote monitoring capabilities allow for continuous care management. This is particularly vital for diabetic patients who require frequent retinal screenings but may have busy schedules preventing regular in-person visits.</w:t>
      </w:r>
    </w:p>
    <w:bookmarkEnd w:id="25"/>
    <w:bookmarkStart w:id="26" w:name="Xcea9878b20280f9f6ff7e4572f99755467b2469"/>
    <w:p>
      <w:pPr>
        <w:pStyle w:val="Heading2"/>
      </w:pPr>
      <w:r>
        <w:t xml:space="preserve">4. Regulatory Framework and Healthcare Economics</w:t>
      </w:r>
    </w:p>
    <w:p>
      <w:pPr>
        <w:pStyle w:val="FirstParagraph"/>
      </w:pPr>
      <w:r>
        <w:t xml:space="preserve">Practicing as an Ophthalmologist in Germany Frankfurt requires navigating a complex healthcare bureaucracy. The German social health insurance system (GKV) sets strict guidelines for reimbursement and treatment protocols. For the Ophthalmologist, understanding these regulations is as important as clinical skill.</w:t>
      </w:r>
    </w:p>
    <w:p>
      <w:pPr>
        <w:numPr>
          <w:ilvl w:val="0"/>
          <w:numId w:val="1001"/>
        </w:numPr>
        <w:pStyle w:val="Compact"/>
      </w:pPr>
      <w:r>
        <w:rPr>
          <w:bCs/>
          <w:b/>
        </w:rPr>
        <w:t xml:space="preserve">Reimbursement Structures:</w:t>
      </w:r>
      <w:r>
        <w:t xml:space="preserve"> </w:t>
      </w:r>
      <w:r>
        <w:t xml:space="preserve">In Germany Frankfurt, specialists must carefully document medical necessity to ensure coverage for procedures like cataract surgery or laser treatments.</w:t>
      </w:r>
    </w:p>
    <w:p>
      <w:pPr>
        <w:numPr>
          <w:ilvl w:val="0"/>
          <w:numId w:val="1001"/>
        </w:numPr>
        <w:pStyle w:val="Compact"/>
      </w:pPr>
      <w:r>
        <w:rPr>
          <w:bCs/>
          <w:b/>
        </w:rPr>
        <w:t xml:space="preserve">Budget Constraints:</w:t>
      </w:r>
      <w:r>
        <w:t xml:space="preserve"> </w:t>
      </w:r>
      <w:r>
        <w:t xml:space="preserve">Hospitals and clinics in Germany Frankfurt often face budgetary pressures. The Ophthalmologist must balance high-quality care with cost-efficiency, advocating for patient-centered solutions that do not compromise outcomes.</w:t>
      </w:r>
    </w:p>
    <w:p>
      <w:pPr>
        <w:numPr>
          <w:ilvl w:val="0"/>
          <w:numId w:val="1001"/>
        </w:numPr>
        <w:pStyle w:val="Compact"/>
      </w:pPr>
      <w:r>
        <w:rPr>
          <w:bCs/>
          <w:b/>
        </w:rPr>
        <w:t xml:space="preserve">Licensing and Continuity:</w:t>
      </w:r>
      <w:r>
        <w:t xml:space="preserve"> </w:t>
      </w:r>
      <w:r>
        <w:t xml:space="preserve">Maintaining medical licenses in Germany requires continuous professional education (CME). The Ophthalmologist must stay updated on the latest scientific advancements to practice legally and effectively in Germany Frankfurt.</w:t>
      </w:r>
    </w:p>
    <w:bookmarkEnd w:id="26"/>
    <w:bookmarkStart w:id="27" w:name="interdisciplinary-collaboration"/>
    <w:p>
      <w:pPr>
        <w:pStyle w:val="Heading2"/>
      </w:pPr>
      <w:r>
        <w:t xml:space="preserve">5. Interdisciplinary Collaboration</w:t>
      </w:r>
    </w:p>
    <w:p>
      <w:pPr>
        <w:pStyle w:val="FirstParagraph"/>
      </w:pPr>
      <w:r>
        <w:t xml:space="preserve">No Ophthalmologist works in isolation. In a complex urban center like Germany Frankfurt, collaboration with endocrinologists, neurologists, and general practitioners is essential. For instance, diabetic retinopathy management requires close coordination with diabetes specialists to control systemic blood sugar levels. Similarly, neurological conditions such as glaucoma or optic neuritis may require input from neuro-ophthalmology departments within major university hospitals in the region.</w:t>
      </w:r>
    </w:p>
    <w:p>
      <w:pPr>
        <w:pStyle w:val="BodyText"/>
      </w:pPr>
      <w:r>
        <w:t xml:space="preserve">This collaborative model ensures that the patient receives holistic care. The Ophthalmologist serves as a key node in this network, providing specialized insights into visual impacts on neurological and systemic health.</w:t>
      </w:r>
    </w:p>
    <w:bookmarkEnd w:id="27"/>
    <w:bookmarkStart w:id="28" w:name="X45143cbcaabafaad9650f9e2a65945c2bd475bd"/>
    <w:p>
      <w:pPr>
        <w:pStyle w:val="Heading2"/>
      </w:pPr>
      <w:r>
        <w:t xml:space="preserve">6. Public Health Education and Community Engagement</w:t>
      </w:r>
    </w:p>
    <w:p>
      <w:pPr>
        <w:pStyle w:val="FirstParagraph"/>
      </w:pPr>
      <w:r>
        <w:t xml:space="preserve">The role of the Ophthalmologist extends beyond the clinic walls. In Germany Frankfurt, public health initiatives often focus on preventive care to reduce the long-term burden on healthcare systems. Ophthalmologists can lead community workshops in schools and senior centers, educating citizens about eye protection, nutrition for eye health, and the importance of regular screenings.</w:t>
      </w:r>
    </w:p>
    <w:p>
      <w:pPr>
        <w:pStyle w:val="BodyText"/>
      </w:pPr>
      <w:r>
        <w:t xml:space="preserve">For example, campaigns targeting early detection of glaucoma among high-risk groups can save sight and reduce disability rates. The Ophthalmologist’s authority as a medical expert lends credibility to these public health messages, encouraging behavioral changes that improve overall visual wellness in Germany Frankfurt.</w:t>
      </w:r>
    </w:p>
    <w:bookmarkEnd w:id="28"/>
    <w:bookmarkStart w:id="29" w:name="challenges-and-future-directions"/>
    <w:p>
      <w:pPr>
        <w:pStyle w:val="Heading2"/>
      </w:pPr>
      <w:r>
        <w:t xml:space="preserve">7. Challenges and Future Directions</w:t>
      </w:r>
    </w:p>
    <w:p>
      <w:pPr>
        <w:pStyle w:val="FirstParagraph"/>
      </w:pPr>
      <w:r>
        <w:t xml:space="preserve">Despite advancements, several challenges remain for the Ophthalmologist in Germany Frankfurt. These include:</w:t>
      </w:r>
    </w:p>
    <w:p>
      <w:pPr>
        <w:numPr>
          <w:ilvl w:val="0"/>
          <w:numId w:val="1002"/>
        </w:numPr>
        <w:pStyle w:val="Compact"/>
      </w:pPr>
      <w:r>
        <w:rPr>
          <w:bCs/>
          <w:b/>
        </w:rPr>
        <w:t xml:space="preserve">Patient Accessibility:</w:t>
      </w:r>
      <w:r>
        <w:t xml:space="preserve">Bridging the gap between specialist care and underserved communities within the city limits.</w:t>
      </w:r>
    </w:p>
    <w:p>
      <w:pPr>
        <w:numPr>
          <w:ilvl w:val="0"/>
          <w:numId w:val="1002"/>
        </w:numPr>
        <w:pStyle w:val="Compact"/>
      </w:pPr>
      <w:r>
        <w:rPr>
          <w:bCs/>
          <w:b/>
        </w:rPr>
        <w:t xml:space="preserve">Mental Health Integration:</w:t>
      </w:r>
      <w:r>
        <w:t xml:space="preserve">Acknowledging the impact of vision loss on mental well-being and incorporating psychological support into treatment plans.</w:t>
      </w:r>
    </w:p>
    <w:p>
      <w:pPr>
        <w:numPr>
          <w:ilvl w:val="0"/>
          <w:numId w:val="1002"/>
        </w:numPr>
        <w:pStyle w:val="Compact"/>
      </w:pPr>
      <w:r>
        <w:rPr>
          <w:bCs/>
          <w:b/>
        </w:rPr>
        <w:t xml:space="preserve">Sustainability in Healthcare:</w:t>
      </w:r>
      <w:r>
        <w:t xml:space="preserve">Adopting eco-friendly practices in clinics across Germany Frankfurt to align with broader environmental goals.</w:t>
      </w:r>
    </w:p>
    <w:p>
      <w:pPr>
        <w:pStyle w:val="FirstParagraph"/>
      </w:pPr>
      <w:r>
        <w:t xml:space="preserve">The future for the Ophthalmologist lies in personalization and prevention. With the advent of genomics and artificial intelligence, diagnostic precision will improve. However, the human element of care—empathy, communication, and trust—will remain paramount. The Ophthalmologist must evolve to become a technology-savvy yet compassionate caregiver.</w:t>
      </w:r>
    </w:p>
    <w:bookmarkEnd w:id="29"/>
    <w:bookmarkStart w:id="30" w:name="conclusion"/>
    <w:p>
      <w:pPr>
        <w:pStyle w:val="Heading2"/>
      </w:pPr>
      <w:r>
        <w:t xml:space="preserve">8. Conclusion</w:t>
      </w:r>
    </w:p>
    <w:p>
      <w:pPr>
        <w:pStyle w:val="FirstParagraph"/>
      </w:pPr>
      <w:r>
        <w:t xml:space="preserve">In conclusion, the Ophthalmologist in Germany Frankfurt plays a pivotal role in addressing the unique ophthalmic needs of one of Europe’s most dynamic cities. By adapting to local epidemiological trends, leveraging advanced technology, navigating regulatory frameworks, and engaging with the community, specialists can ensure high-quality care for all patients.</w:t>
      </w:r>
    </w:p>
    <w:p>
      <w:pPr>
        <w:pStyle w:val="BodyText"/>
      </w:pPr>
      <w:r>
        <w:t xml:space="preserve">This conference paper underscores that effective ophthalmic care in Germany Frankfurt is not merely about treating disease but about integrating comprehensive visual health into the broader fabric of public well-being. As we look to the future, continued research, education, and collaboration will empower the Ophthalmologist to meet emerging challenges head-on. It is our collective responsibility to ensure that every individual in Germany Frankfurt has access to clear vision and a high quality of life.</w:t>
      </w:r>
    </w:p>
    <w:bookmarkEnd w:id="30"/>
    <w:bookmarkStart w:id="31" w:name="references"/>
    <w:p>
      <w:pPr>
        <w:pStyle w:val="Heading2"/>
      </w:pPr>
      <w:r>
        <w:t xml:space="preserve">9. References</w:t>
      </w:r>
    </w:p>
    <w:p>
      <w:pPr>
        <w:pStyle w:val="FirstParagraph"/>
      </w:pPr>
      <w:r>
        <w:rPr>
          <w:iCs/>
          <w:i/>
        </w:rPr>
        <w:t xml:space="preserve">Note: This is a simulated conference paper document. In a real academic setting, specific citations from German medical journals, health statistics from Hesse state authorities, and international ophthalmology guidelines would be included here.</w:t>
      </w:r>
    </w:p>
    <w:p>
      <w:pPr>
        <w:numPr>
          <w:ilvl w:val="0"/>
          <w:numId w:val="1003"/>
        </w:numPr>
        <w:pStyle w:val="Compact"/>
      </w:pPr>
      <w:r>
        <w:t xml:space="preserve">German Ophthalmological Society (DOG) Guidelines on Retinal Diseases.</w:t>
      </w:r>
    </w:p>
    <w:p>
      <w:pPr>
        <w:numPr>
          <w:ilvl w:val="0"/>
          <w:numId w:val="1003"/>
        </w:numPr>
        <w:pStyle w:val="Compact"/>
      </w:pPr>
      <w:r>
        <w:t xml:space="preserve">Statistical Office of Hesse: Health Data Reports for Frankfurt am Main.</w:t>
      </w:r>
    </w:p>
    <w:p>
      <w:pPr>
        <w:numPr>
          <w:ilvl w:val="0"/>
          <w:numId w:val="1003"/>
        </w:numPr>
        <w:pStyle w:val="Compact"/>
      </w:pPr>
      <w:r>
        <w:t xml:space="preserve">American Academy of Ophthalmology. Preferred Practice Patterns for Glaucoma and Diabetic Retinopathy.</w:t>
      </w:r>
    </w:p>
    <w:p>
      <w:pPr>
        <w:numPr>
          <w:ilvl w:val="0"/>
          <w:numId w:val="1003"/>
        </w:numPr>
        <w:pStyle w:val="Compact"/>
      </w:pPr>
      <w:r>
        <w:t xml:space="preserve">Bundesärztekammer (German Medical Association) Regulations on Continuing Medical Education in Germany Frankfurt.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Germany Frankfurt: A Conference Paper</dc:title>
  <dc:creator/>
  <dc:language>en</dc:language>
  <cp:keywords/>
  <dcterms:created xsi:type="dcterms:W3CDTF">2026-07-29T13:44:16Z</dcterms:created>
  <dcterms:modified xsi:type="dcterms:W3CDTF">2026-07-29T13:44:16Z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