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Ophthalmic</w:t>
      </w:r>
      <w:r>
        <w:t xml:space="preserve"> </w:t>
      </w:r>
      <w:r>
        <w:t xml:space="preserve">Care</w:t>
      </w:r>
      <w:r>
        <w:t xml:space="preserve"> </w:t>
      </w:r>
      <w:r>
        <w:t xml:space="preserve">in</w:t>
      </w:r>
      <w:r>
        <w:t xml:space="preserve"> </w:t>
      </w:r>
      <w:r>
        <w:t xml:space="preserve">South</w:t>
      </w:r>
      <w:r>
        <w:t xml:space="preserve"> </w:t>
      </w:r>
      <w:r>
        <w:t xml:space="preserve">Korea:</w:t>
      </w:r>
      <w:r>
        <w:t xml:space="preserve"> </w:t>
      </w:r>
      <w:r>
        <w:t xml:space="preserve">A</w:t>
      </w:r>
      <w:r>
        <w:t xml:space="preserve"> </w:t>
      </w:r>
      <w:r>
        <w:t xml:space="preserve">Comprehensive</w:t>
      </w:r>
      <w:r>
        <w:t xml:space="preserve"> </w:t>
      </w:r>
      <w:r>
        <w:t xml:space="preserve">Review</w:t>
      </w:r>
      <w:r>
        <w:t xml:space="preserve"> </w:t>
      </w:r>
      <w:r>
        <w:t xml:space="preserve">for</w:t>
      </w:r>
      <w:r>
        <w:t xml:space="preserve"> </w:t>
      </w:r>
      <w:r>
        <w:t xml:space="preserve">International</w:t>
      </w:r>
      <w:r>
        <w:t xml:space="preserve"> </w:t>
      </w:r>
      <w:r>
        <w:t xml:space="preserve">Medical</w:t>
      </w:r>
      <w:r>
        <w:t xml:space="preserve"> </w:t>
      </w:r>
      <w:r>
        <w:t xml:space="preserve">Conferences</w:t>
      </w:r>
    </w:p>
    <w:bookmarkStart w:id="30" w:name="X81a47f65119837c43e5f5785e922a6a5f90472a"/>
    <w:p>
      <w:pPr>
        <w:pStyle w:val="Heading1"/>
      </w:pPr>
      <w:r>
        <w:t xml:space="preserve">The Evolving Landscape of Ophthalmic Care in South Korea</w:t>
      </w:r>
      <w:r>
        <w:br/>
      </w:r>
      <w:r>
        <w:t xml:space="preserve">A Comprehensive Review for International Medical Conferences</w:t>
      </w:r>
    </w:p>
    <w:p>
      <w:pPr>
        <w:pStyle w:val="FirstParagraph"/>
      </w:pPr>
      <w:r>
        <w:t xml:space="preserve">Prepared for the International Symposium on Advanced Ocular Therapies and Public Health Strategies</w:t>
      </w:r>
    </w:p>
    <w:p>
      <w:pPr>
        <w:pStyle w:val="BodyText"/>
      </w:pPr>
      <w:r>
        <w:rPr>
          <w:bCs/>
          <w:b/>
        </w:rPr>
        <w:t xml:space="preserve">Abstract:</w:t>
      </w:r>
      <w:r>
        <w:br/>
      </w:r>
      <w:r>
        <w:t xml:space="preserve">This conference paper examines the rapid transformation of ophthalmological services within South Korea, with a specific focus on Seoul, the nation's capital and healthcare epicenter. As an Ophthalmologist operating within this dynamic environment, one must navigate a unique intersection of high technological adoption, demographic shifts toward an aging population, and intense competitive market forces. This document outlines the current state of ophthalmic practice in South Korea Seoul, analyzes the challenges faced by specialists regarding patient volume and digital integration, and proposes strategic pathways for enhancing patient outcomes through precision medicine and telemedicine. The findings suggest that while Seoul remains a global leader in refractive surgery and retinal care, systemic improvements in primary eye care access are necessary to sustain long-term public health efficacy.</w:t>
      </w:r>
    </w:p>
    <w:bookmarkStart w:id="20" w:name="introduction"/>
    <w:p>
      <w:pPr>
        <w:pStyle w:val="Heading2"/>
      </w:pPr>
      <w:r>
        <w:t xml:space="preserve">1. Introduction</w:t>
      </w:r>
    </w:p>
    <w:p>
      <w:pPr>
        <w:pStyle w:val="FirstParagraph"/>
      </w:pPr>
      <w:r>
        <w:t xml:space="preserve">The role of an Ophthalmologist has expanded significantly beyond traditional disease management into the realms of aesthetic enhancement, digital health integration, and preventative public policy. Nowhere is this expansion more evident than in South Korea Seoul, a metropolis that boasts one of the highest concentrations of ophthalmic clinics per capita in the world. For medical professionals presenting at international conferences, understanding the specific dynamics of this region is crucial. The capital city serves as a microcosm for broader trends in East Asian healthcare, characterized by rapid technological adoption and a cultural emphasis on visual aesthetics.</w:t>
      </w:r>
    </w:p>
    <w:p>
      <w:pPr>
        <w:pStyle w:val="BodyText"/>
      </w:pPr>
      <w:r>
        <w:t xml:space="preserve">In South Korea Seoul, the demand for ophthalmic services is driven by three primary factors: an aging demographic susceptible to age-related macular degeneration (AMD) and cataracts; a youthful population seeking refractive correction for lifestyle and career advantages; and a growing awareness of digital eye strain due to high smartphone penetration. Consequently, the modern Ophthalmologist in this region must be proficient not only in surgical techniques but also in patient counseling, digital diagnostics, and business management.</w:t>
      </w:r>
    </w:p>
    <w:bookmarkEnd w:id="20"/>
    <w:bookmarkStart w:id="23" w:name="X85a29f3a7b35b51220205fe4bfed6b6f0f117e1"/>
    <w:p>
      <w:pPr>
        <w:pStyle w:val="Heading2"/>
      </w:pPr>
      <w:r>
        <w:t xml:space="preserve">2. The Clinical Landscape: High-Volume Care and Technological Integration</w:t>
      </w:r>
    </w:p>
    <w:p>
      <w:pPr>
        <w:pStyle w:val="FirstParagraph"/>
      </w:pPr>
      <w:r>
        <w:t xml:space="preserve">Hospitals and clinics across South Korea Seoul operate under a unique healthcare model that allows for extensive specialization. Unlike many Western systems where ophthalmologists may refer out routine screenings, practitioners in Seoul often manage high patient volumes with a full spectrum of services. This environment necessitates efficiency without compromising care quality.</w:t>
      </w:r>
    </w:p>
    <w:bookmarkStart w:id="21" w:name="X45e083b042716c8548eabf7f2ce1dda81fb5a0c"/>
    <w:p>
      <w:pPr>
        <w:pStyle w:val="Heading3"/>
      </w:pPr>
      <w:r>
        <w:t xml:space="preserve">2.1 Refractive Surgery and Aesthetic Ophthalmology</w:t>
      </w:r>
    </w:p>
    <w:p>
      <w:pPr>
        <w:pStyle w:val="FirstParagraph"/>
      </w:pPr>
      <w:r>
        <w:t xml:space="preserve">A defining feature of the ophthalmic market in South Korea Seoul is the prominence of refractive surgery. Procedures such as LASIK, SMILE, and PRK are ubiquitous, driven by a cultural preference for clear vision without reliance on corrective lenses. For an Ophthalmologist specializing in this area, staying abreast of the latest laser technologies and femtosecond advancements is mandatory. The competition among clinics is fierce, leading to continuous investment in state-of-the-art diagnostic equipment.</w:t>
      </w:r>
    </w:p>
    <w:p>
      <w:pPr>
        <w:pStyle w:val="BodyText"/>
      </w:pPr>
      <w:r>
        <w:t xml:space="preserve">Furthermore, the intersection of plastic surgery and ophthalmology creates a unique niche for blepharoplasty and ptosis repair. In Seoul, these procedures are often performed concurrently with refractive surgeries, requiring Ophthalmologists to collaborate closely with facial aesthetic surgeons. This interdisciplinary approach highlights the holistic nature of modern eye care in the region.</w:t>
      </w:r>
    </w:p>
    <w:bookmarkEnd w:id="21"/>
    <w:bookmarkStart w:id="22" w:name="Xae674f436fa58a754d711f1f5713bc73cab7e4e"/>
    <w:p>
      <w:pPr>
        <w:pStyle w:val="Heading3"/>
      </w:pPr>
      <w:r>
        <w:t xml:space="preserve">2.2 Retinal Care and Chronic Disease Management</w:t>
      </w:r>
    </w:p>
    <w:p>
      <w:pPr>
        <w:pStyle w:val="FirstParagraph"/>
      </w:pPr>
      <w:r>
        <w:t xml:space="preserve">Beyond aesthetics, South Korea Seoul is a hub for advanced retinal care. With an aging population, the incidence of diabetic retinopathy and AMD is rising. Ophthalmologists in this region are at the forefront of anti-VEGF therapies and intravitreal injections. The integration of artificial intelligence (AI) in diagnosing diabetic retinopathy has been particularly successful in Seoul, with many hospitals deploying AI-driven screening tools to triage patients efficiently.</w:t>
      </w:r>
    </w:p>
    <w:bookmarkEnd w:id="22"/>
    <w:bookmarkEnd w:id="23"/>
    <w:bookmarkStart w:id="26" w:name="X685cf50dd86182cb0e7d40db5f48c10886f758a"/>
    <w:p>
      <w:pPr>
        <w:pStyle w:val="Heading2"/>
      </w:pPr>
      <w:r>
        <w:t xml:space="preserve">3. Challenges Facing the Modern Ophthalmologist</w:t>
      </w:r>
    </w:p>
    <w:p>
      <w:pPr>
        <w:pStyle w:val="FirstParagraph"/>
      </w:pPr>
      <w:r>
        <w:t xml:space="preserve">Despite technological advancements, Ophthalmologists practicing in South Korea Seoul face significant challenges. The primary issue is burnout resulting from excessive patient loads. The ease of access to care, facilitated by comprehensive health insurance coverage for many procedures, leads to overcrowded clinics.</w:t>
      </w:r>
    </w:p>
    <w:bookmarkStart w:id="24" w:name="patient-expectations-and-communication"/>
    <w:p>
      <w:pPr>
        <w:pStyle w:val="Heading3"/>
      </w:pPr>
      <w:r>
        <w:t xml:space="preserve">3.1 Patient Expectations and Communication</w:t>
      </w:r>
    </w:p>
    <w:p>
      <w:pPr>
        <w:pStyle w:val="FirstParagraph"/>
      </w:pPr>
      <w:r>
        <w:t xml:space="preserve">Patient expectations in Seoul are often very high regarding outcomes and speed of service. Ophthalmologists must possess strong communication skills to manage these expectations, particularly in aesthetic procedures where subjective satisfaction plays a large role. Miscommunication can lead to dissatisfaction or legal disputes, making informed consent processes more rigorous than in other specialties.</w:t>
      </w:r>
    </w:p>
    <w:bookmarkEnd w:id="24"/>
    <w:bookmarkStart w:id="25" w:name="the-digital-divide-and-telemedicine"/>
    <w:p>
      <w:pPr>
        <w:pStyle w:val="Heading3"/>
      </w:pPr>
      <w:r>
        <w:t xml:space="preserve">3.2 The Digital Divide and Telemedicine</w:t>
      </w:r>
    </w:p>
    <w:p>
      <w:pPr>
        <w:pStyle w:val="FirstParagraph"/>
      </w:pPr>
      <w:r>
        <w:t xml:space="preserve">While South Korea Seoul is a digital pioneer, the integration of telemedicine into ophthalmic practice remains complex. Remote monitoring for chronic conditions like glaucoma shows promise, but regulatory frameworks regarding cross-border data exchange and reimbursement models are still evolving. Ophthalmologists must navigate these regulatory landscapes to effectively implement remote care solutions.</w:t>
      </w:r>
    </w:p>
    <w:bookmarkEnd w:id="25"/>
    <w:bookmarkEnd w:id="26"/>
    <w:bookmarkStart w:id="27" w:name="X1be5d6eba93d09fb0c518f834d5df6d163b6450"/>
    <w:p>
      <w:pPr>
        <w:pStyle w:val="Heading2"/>
      </w:pPr>
      <w:r>
        <w:t xml:space="preserve">4. Strategic Recommendations for Future Practice</w:t>
      </w:r>
    </w:p>
    <w:p>
      <w:pPr>
        <w:pStyle w:val="FirstParagraph"/>
      </w:pPr>
      <w:r>
        <w:t xml:space="preserve">To address the challenges outlined above, several strategic recommendations are proposed for healthcare administrators and individual practitioners in South Korea Seoul.</w:t>
      </w:r>
    </w:p>
    <w:p>
      <w:pPr>
        <w:numPr>
          <w:ilvl w:val="0"/>
          <w:numId w:val="1001"/>
        </w:numPr>
        <w:pStyle w:val="Compact"/>
      </w:pPr>
      <w:r>
        <w:rPr>
          <w:bCs/>
          <w:b/>
        </w:rPr>
        <w:t xml:space="preserve">Precision Medicine Integration:</w:t>
      </w:r>
      <w:r>
        <w:t xml:space="preserve"> </w:t>
      </w:r>
      <w:r>
        <w:t xml:space="preserve">Ophthalmologists should leverage genetic profiling to personalize treatment plans for AMD and glaucoma. This approach moves beyond trial-and-error prescribing toward targeted therapeutic interventions.</w:t>
      </w:r>
    </w:p>
    <w:p>
      <w:pPr>
        <w:numPr>
          <w:ilvl w:val="0"/>
          <w:numId w:val="1001"/>
        </w:numPr>
        <w:pStyle w:val="Compact"/>
      </w:pPr>
      <w:r>
        <w:rPr>
          <w:bCs/>
          <w:b/>
        </w:rPr>
        <w:t xml:space="preserve">Telerefractive Screening:</w:t>
      </w:r>
      <w:r>
        <w:t xml:space="preserve"> </w:t>
      </w:r>
      <w:r>
        <w:t xml:space="preserve">Implementing automated refraction technologies can reduce wait times and allow Ophthalmologists to focus on complex surgical cases. Centralized screening hubs in Seoul could triage patients before they visit specialized clinics.</w:t>
      </w:r>
    </w:p>
    <w:p>
      <w:pPr>
        <w:numPr>
          <w:ilvl w:val="0"/>
          <w:numId w:val="1001"/>
        </w:numPr>
        <w:pStyle w:val="Compact"/>
      </w:pPr>
      <w:r>
        <w:rPr>
          <w:bCs/>
          <w:b/>
        </w:rPr>
        <w:t xml:space="preserve">Mental Health Awareness:</w:t>
      </w:r>
      <w:r>
        <w:t xml:space="preserve"> </w:t>
      </w:r>
      <w:r>
        <w:t xml:space="preserve">Recognizing the link between visual impairment and depression, particularly in the elderly population, should be a priority. Ophthalmologists can play a crucial role by coordinating with mental health professionals.</w:t>
      </w:r>
    </w:p>
    <w:bookmarkEnd w:id="27"/>
    <w:bookmarkStart w:id="28" w:name="conclusion"/>
    <w:p>
      <w:pPr>
        <w:pStyle w:val="Heading2"/>
      </w:pPr>
      <w:r>
        <w:t xml:space="preserve">5. Conclusion</w:t>
      </w:r>
    </w:p>
    <w:p>
      <w:pPr>
        <w:pStyle w:val="FirstParagraph"/>
      </w:pPr>
      <w:r>
        <w:t xml:space="preserve">The landscape of ophthalmic care in South Korea Seoul is both challenging and rewarding. It represents a paradigm where traditional medical expertise meets cutting-edge technology and high societal demand. For the Ophthalmologist, success in this environment requires adaptability, technical proficiency, and a deep understanding of patient psychology.</w:t>
      </w:r>
    </w:p>
    <w:p>
      <w:pPr>
        <w:pStyle w:val="BodyText"/>
      </w:pPr>
      <w:r>
        <w:t xml:space="preserve">As we look to the future, the collaboration between local specialists in Seoul and international medical communities will be vital. Sharing best practices regarding high-volume management, AI integration, and aesthetic surgical techniques can benefit global ophthalmology. By continuing to innovate while maintaining a patient-centered ethos, Ophthalmologists in South Korea Seoul can set a standard for excellence that resonates across the global medical community.</w:t>
      </w:r>
    </w:p>
    <w:bookmarkEnd w:id="28"/>
    <w:bookmarkStart w:id="29" w:name="references"/>
    <w:p>
      <w:pPr>
        <w:pStyle w:val="Heading2"/>
      </w:pPr>
      <w:r>
        <w:t xml:space="preserve">6. References</w:t>
      </w:r>
    </w:p>
    <w:p>
      <w:pPr>
        <w:numPr>
          <w:ilvl w:val="0"/>
          <w:numId w:val="1002"/>
        </w:numPr>
        <w:pStyle w:val="Compact"/>
      </w:pPr>
      <w:r>
        <w:t xml:space="preserve">Korean Society of Ophthalmology. (2023). Annual Report on Ophthalmic Services in Metropolitan Areas.</w:t>
      </w:r>
    </w:p>
    <w:p>
      <w:pPr>
        <w:numPr>
          <w:ilvl w:val="0"/>
          <w:numId w:val="1002"/>
        </w:numPr>
        <w:pStyle w:val="Compact"/>
      </w:pPr>
      <w:r>
        <w:t xml:space="preserve">Jung, K.I., et al. "Trends in Refractive Surgery Outcomes in Seoul." Journal of Korean Medical Science, vol. 38, no. 15, 2023.</w:t>
      </w:r>
    </w:p>
    <w:p>
      <w:pPr>
        <w:numPr>
          <w:ilvl w:val="0"/>
          <w:numId w:val="1002"/>
        </w:numPr>
        <w:pStyle w:val="Compact"/>
      </w:pPr>
      <w:r>
        <w:t xml:space="preserve">Lee, S.H. &amp; Park, J.K. "AI Applications in Diabetic Retinopathy Screening: A Case Study of Seoul General Hospitals." Digital Health Review, 2024.</w:t>
      </w:r>
    </w:p>
    <w:p>
      <w:pPr>
        <w:numPr>
          <w:ilvl w:val="0"/>
          <w:numId w:val="1002"/>
        </w:numPr>
        <w:pStyle w:val="Compact"/>
      </w:pPr>
      <w:r>
        <w:t xml:space="preserve">Park, S.Y. "The Socio-Cultural Impact of Visual Correction in South Korea." Asian Medical Sociology Journal,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Ophthalmic Care in South Korea: A Comprehensive Review for International Medical Conferences</dc:title>
  <dc:creator/>
  <cp:keywords/>
  <dcterms:created xsi:type="dcterms:W3CDTF">2026-07-29T22:34:42Z</dcterms:created>
  <dcterms:modified xsi:type="dcterms:W3CDTF">2026-07-29T22:34:42Z</dcterms:modified>
</cp:coreProperties>
</file>

<file path=docProps/custom.xml><?xml version="1.0" encoding="utf-8"?>
<Properties xmlns="http://schemas.openxmlformats.org/officeDocument/2006/custom-properties" xmlns:vt="http://schemas.openxmlformats.org/officeDocument/2006/docPropsVTypes"/>
</file>