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Clinical</w:t>
      </w:r>
      <w:r>
        <w:t xml:space="preserve"> </w:t>
      </w:r>
      <w:r>
        <w:t xml:space="preserve">Excellence,</w:t>
      </w:r>
      <w:r>
        <w:t xml:space="preserve"> </w:t>
      </w:r>
      <w:r>
        <w:t xml:space="preserve">Digital</w:t>
      </w:r>
      <w:r>
        <w:t xml:space="preserve"> </w:t>
      </w:r>
      <w:r>
        <w:t xml:space="preserve">Innovation,</w:t>
      </w:r>
      <w:r>
        <w:t xml:space="preserve"> </w:t>
      </w:r>
      <w:r>
        <w:t xml:space="preserve">and</w:t>
      </w:r>
      <w:r>
        <w:t xml:space="preserve"> </w:t>
      </w:r>
      <w:r>
        <w:t xml:space="preserve">Health</w:t>
      </w:r>
      <w:r>
        <w:t xml:space="preserve"> </w:t>
      </w:r>
      <w:r>
        <w:t xml:space="preserve">System</w:t>
      </w:r>
      <w:r>
        <w:t xml:space="preserve"> </w:t>
      </w:r>
      <w:r>
        <w:t xml:space="preserve">Equity</w:t>
      </w:r>
    </w:p>
    <w:bookmarkStart w:id="28" w:name="Xb4c1e91bd20cc179174f06ee08dc21845d70a3a"/>
    <w:p>
      <w:pPr>
        <w:pStyle w:val="Heading1"/>
      </w:pPr>
      <w:r>
        <w:t xml:space="preserve">The Evolving Role of the Ophthalmologist in United Kingdom London:</w:t>
      </w:r>
      <w:r>
        <w:br/>
      </w:r>
      <w:r>
        <w:t xml:space="preserve">Navigating Clinical Excellence, Digital Innovation, and Health System Equity</w:t>
      </w:r>
    </w:p>
    <w:p>
      <w:pPr>
        <w:pStyle w:val="FirstParagraph"/>
      </w:pPr>
      <w:r>
        <w:rPr>
          <w:bCs/>
          <w:b/>
        </w:rPr>
        <w:t xml:space="preserve">Author:</w:t>
      </w:r>
      <w:r>
        <w:br/>
      </w:r>
      <w:r>
        <w:t xml:space="preserve">[Your Name/Institution]</w:t>
      </w:r>
      <w:r>
        <w:br/>
      </w:r>
      <w:r>
        <w:rPr>
          <w:iCs/>
          <w:i/>
        </w:rPr>
        <w:t xml:space="preserve">Affiliation: Department of Ophthalmology, Major Teaching Hospital, United Kingdom London</w:t>
      </w:r>
    </w:p>
    <w:p>
      <w:pPr>
        <w:pStyle w:val="BodyText"/>
      </w:pPr>
      <w:r>
        <w:rPr>
          <w:bCs/>
          <w:b/>
        </w:rPr>
        <w:t xml:space="preserve">Abstract:</w:t>
      </w:r>
      <w:r>
        <w:br/>
      </w:r>
      <w:r>
        <w:t xml:space="preserve">The landscape of ophthalmic care within the United Kingdom London is undergoing a profound transformation driven by demographic shifts, technological advancements, and systemic pressures on the National Health Service (NHS). As one of the world’s most diverse metropolitan hubs, London presents unique challenges regarding accessibility, disease prevalence, and health inequality. This paper explores the multifaceted role of the ophthalmologist in this specific geopolitical context. It examines how ophthalmologists are adapting to rising rates of age-related macular degeneration (AMD), diabetic retinopathy, and glaucoma through digital integration and subspecialization. Furthermore, it analyzes the critical intersection between clinical autonomy within the NHS framework and the urgent need for equitable service delivery across London’s boroughs. The findings suggest that while technology offers solutions to backlogs, sustainable models require a reimagined role for the ophthalmologist as not only a surgical expert but also a leader in public health advocacy and digital triage systems.</w:t>
      </w:r>
    </w:p>
    <w:p>
      <w:pPr>
        <w:pStyle w:val="BodyText"/>
      </w:pPr>
      <w:r>
        <w:rPr>
          <w:bCs/>
          <w:b/>
        </w:rPr>
        <w:t xml:space="preserve">Keywords:</w:t>
      </w:r>
      <w:r>
        <w:t xml:space="preserve"> </w:t>
      </w:r>
      <w:r>
        <w:t xml:space="preserve">Ophthalmologist, United Kingdom London, NHS Reform, Digital Eye Health, Health Equity, Surgical Innovation</w:t>
      </w:r>
    </w:p>
    <w:bookmarkStart w:id="20" w:name="introduction"/>
    <w:p>
      <w:pPr>
        <w:pStyle w:val="Heading2"/>
      </w:pPr>
      <w:r>
        <w:t xml:space="preserve">1. Introduction</w:t>
      </w:r>
    </w:p>
    <w:p>
      <w:pPr>
        <w:pStyle w:val="FirstParagraph"/>
      </w:pPr>
      <w:r>
        <w:t xml:space="preserve">The city of London stands as a global beacon of culture and commerce within the United Kingdom London context. However, beneath its economic prowess lies a complex public health infrastructure that serves over nine million residents. The ophthalmologist, traditionally viewed primarily through the lens of surgical intervention and clinical diagnosis, now finds themselves at the epicenter of a healthcare revolution. In United Kingdom London, where patient diversity ranges from affluent communities to areas experiencing significant socioeconomic deprivation, the role of the ophthalmologist has expanded beyond treating eye disease to managing complex social determinants of health.</w:t>
      </w:r>
    </w:p>
    <w:p>
      <w:pPr>
        <w:pStyle w:val="BodyText"/>
      </w:pPr>
      <w:r>
        <w:t xml:space="preserve">This conference paper aims to dissect these changes. It argues that the modern ophthalmologist in United Kingdom London must operate within a tripartite framework: maintaining high standards of surgical excellence, leveraging digital health technologies to manage volume, and championing equity in access. As the National Health Service (NHS) faces unprecedented budgetary constraints and post-pandemic backlogs, understanding how an ophthalmologist can optimize their practice is critical for future policy development.</w:t>
      </w:r>
    </w:p>
    <w:bookmarkEnd w:id="20"/>
    <w:bookmarkStart w:id="21" w:name="X87cf1ac540b622fb0fcdbef25ade3e34edc0906"/>
    <w:p>
      <w:pPr>
        <w:pStyle w:val="Heading2"/>
      </w:pPr>
      <w:r>
        <w:t xml:space="preserve">2. The Demographic Challenge: An Aging Metropolis</w:t>
      </w:r>
    </w:p>
    <w:p>
      <w:pPr>
        <w:pStyle w:val="FirstParagraph"/>
      </w:pPr>
      <w:r>
        <w:t xml:space="preserve">The population of United Kingdom London is aging at a rate that outpaces many other regions in the country. This demographic shift places immense pressure on ophthalmic services, particularly regarding degenerative conditions. The prevalence of age-related macular degeneration (AMD), cataracts, and glaucoma is projected to rise significantly over the next decade.</w:t>
      </w:r>
    </w:p>
    <w:p>
      <w:pPr>
        <w:pStyle w:val="BodyText"/>
      </w:pPr>
      <w:r>
        <w:t xml:space="preserve">For the ophthalmologist practicing in this region, the clinical burden is twofold. First, there is a surge in demand for surgical interventions. Second, there is a growing need for chronic disease management. Unlike acute conditions where an ophthalmologist performs a procedure and discharges the patient, degenerative diseases require lifelong monitoring. In London’s busy hospital systems, this creates bottlenecks that delay care for other patients. Consequently, ophthalmologists are increasingly adopting "tiered care" models, where routine monitoring is delegated to optometrists and orthoptists under shared-care agreements with the NHS.</w:t>
      </w:r>
    </w:p>
    <w:bookmarkEnd w:id="21"/>
    <w:bookmarkStart w:id="22" w:name="X63ef513a10884ae833211dc12ea157649242ba0"/>
    <w:p>
      <w:pPr>
        <w:pStyle w:val="Heading2"/>
      </w:pPr>
      <w:r>
        <w:t xml:space="preserve">3. The Diabetic Epidemic in United Kingdom London</w:t>
      </w:r>
    </w:p>
    <w:p>
      <w:pPr>
        <w:pStyle w:val="FirstParagraph"/>
      </w:pPr>
      <w:r>
        <w:t xml:space="preserve">A defining characteristic of the health profile in United Kingdom London is its high prevalence of Type 2 diabetes, particularly among South Asian and Black communities residing in specific boroughs. Diabetic retinopathy (DR) remains a leading cause of preventable blindness. The role of the ophthalmologist here has shifted from reactive treatment to proactive population health management.</w:t>
      </w:r>
    </w:p>
    <w:p>
      <w:pPr>
        <w:pStyle w:val="BodyText"/>
      </w:pPr>
      <w:r>
        <w:t xml:space="preserve">In recent years, screening programs across London have utilized artificial intelligence (AI) tools to analyze retinal images. While this increases efficiency, it necessitates a new skill set for the ophthalmologist. They must now interpret AI-flagged cases with high precision and manage the psychological impact on patients who receive alerts. The ophthalmologist acts as the final clinical gatekeeper, ensuring that false positives do not overwhelm clinic capacity while ensuring no high-risk patient is missed. This hybrid role requires deep collaboration between data scientists, primary care physicians, and specialist eye care teams.</w:t>
      </w:r>
    </w:p>
    <w:bookmarkEnd w:id="22"/>
    <w:bookmarkStart w:id="23" w:name="X15979b54fbd316b9e95573fd65253125ed65783"/>
    <w:p>
      <w:pPr>
        <w:pStyle w:val="Heading2"/>
      </w:pPr>
      <w:r>
        <w:t xml:space="preserve">4. Digital Innovation and Tele-Ophthalmology</w:t>
      </w:r>
    </w:p>
    <w:p>
      <w:pPr>
        <w:pStyle w:val="FirstParagraph"/>
      </w:pPr>
      <w:r>
        <w:t xml:space="preserve">Digital transformation is not merely a trend but a necessity for the ophthalmologist in United Kingdom London. Post-pandemic acceptance of tele-ophthalmology has accelerated, allowing consultants to triage patients remotely. For an ophthalmologist based in central London hospitals serving satellite clinics in outer boroughs like Barking or Croydon, virtual consultations reduce travel time and improve patient adherence.</w:t>
      </w:r>
    </w:p>
    <w:p>
      <w:pPr>
        <w:pStyle w:val="BodyText"/>
      </w:pPr>
      <w:r>
        <w:t xml:space="preserve">However, the digital divide remains a significant barrier. Not all residents in United Kingdom London have access to high-speed internet or the digital literacy required for video consultations. Therefore, the ophthalmologist must advocate for hybrid models that combine digital efficiency with traditional face-to-face care for vulnerable populations. This approach ensures that technological advancement does not exacerbate existing health inequalities.</w:t>
      </w:r>
    </w:p>
    <w:bookmarkEnd w:id="23"/>
    <w:bookmarkStart w:id="24" w:name="X60f6c685a4b84ef58d5e6f5f6e5e7243abd5796"/>
    <w:p>
      <w:pPr>
        <w:pStyle w:val="Heading2"/>
      </w:pPr>
      <w:r>
        <w:t xml:space="preserve">5. Surgical Excellence and Workforce Sustainability</w:t>
      </w:r>
    </w:p>
    <w:p>
      <w:pPr>
        <w:pStyle w:val="FirstParagraph"/>
      </w:pPr>
      <w:r>
        <w:t xml:space="preserve">The core of the ophthalmologist’s identity remains surgical prowess. In United Kingdom London, training centers such as Moorfields Eye Hospital continue to set global standards for cataract, glaucoma, and retinal surgery. However, workforce shortages pose a threat to sustainability.</w:t>
      </w:r>
    </w:p>
    <w:p>
      <w:pPr>
        <w:pStyle w:val="BodyText"/>
      </w:pPr>
      <w:r>
        <w:t xml:space="preserve">Recruitment challenges are acute in the capital due to high living costs and competitive international markets. To retain talent, ophthalmologists must find fulfillment in complex cases and academic research. Furthermore, there is a growing emphasis on minimally invasive techniques that reduce recovery time, allowing patients to return to work faster—an important consideration for London’s dense workforce. The ophthalmologist must also engage in continuous professional development (CPD) not only in clinical skills but also in leadership and system management to navigate the complexities of NHS contracts.</w:t>
      </w:r>
    </w:p>
    <w:bookmarkEnd w:id="24"/>
    <w:bookmarkStart w:id="25" w:name="addressing-health-inequity"/>
    <w:p>
      <w:pPr>
        <w:pStyle w:val="Heading2"/>
      </w:pPr>
      <w:r>
        <w:t xml:space="preserve">6. Addressing Health Inequity</w:t>
      </w:r>
    </w:p>
    <w:p>
      <w:pPr>
        <w:pStyle w:val="FirstParagraph"/>
      </w:pPr>
      <w:r>
        <w:t xml:space="preserve">Socioeconomic status is a strong predictor of ocular health outcomes. Residents in deprived areas of United Kingdom London experience later diagnoses and poorer surgical outcomes compared to their affluent counterparts. The ophthalmologist plays a crucial advocacy role here.</w:t>
      </w:r>
    </w:p>
    <w:p>
      <w:pPr>
        <w:pStyle w:val="BodyText"/>
      </w:pPr>
      <w:r>
        <w:t xml:space="preserve">This involves community outreach, ensuring that screening programs reach marginalized groups, and collaborating with local councils to address environmental factors affecting eye health. For instance, promoting UV protection in outdoor workers or advocating for better nutrition in schools to combat childhood obesity-related eye issues. The ophthalmologist in United Kingdom London must thus be seen as a public health agent who understands the geographic and social map of the city.</w:t>
      </w:r>
    </w:p>
    <w:bookmarkEnd w:id="25"/>
    <w:bookmarkStart w:id="26" w:name="conclusion"/>
    <w:p>
      <w:pPr>
        <w:pStyle w:val="Heading2"/>
      </w:pPr>
      <w:r>
        <w:t xml:space="preserve">7. Conclusion</w:t>
      </w:r>
    </w:p>
    <w:p>
      <w:pPr>
        <w:pStyle w:val="FirstParagraph"/>
      </w:pPr>
      <w:r>
        <w:t xml:space="preserve">In conclusion, the role of the ophthalmologist in United Kingdom London is expanding rapidly. It is no longer sufficient to possess exceptional surgical skills; one must also be adept at digital triage, empathetic communicator across cultural divides, and a steadfast advocate for equity within the NHS framework. As we look toward the future, collaboration between academic institutions, clinical trusts, and policymakers will be essential to support ophthalmologists in this evolving landscape. By embracing innovation while staying rooted in patient-centered care, ophthalmologists can ensure that United Kingdom London remains a leader not only in medical research but also in accessible, high-quality eye healthcare for all its diverse inhabitants.</w:t>
      </w:r>
    </w:p>
    <w:bookmarkEnd w:id="26"/>
    <w:bookmarkStart w:id="27" w:name="references"/>
    <w:p>
      <w:pPr>
        <w:pStyle w:val="Heading2"/>
      </w:pPr>
      <w:r>
        <w:t xml:space="preserve">References</w:t>
      </w:r>
    </w:p>
    <w:p>
      <w:pPr>
        <w:numPr>
          <w:ilvl w:val="0"/>
          <w:numId w:val="1001"/>
        </w:numPr>
        <w:pStyle w:val="Compact"/>
      </w:pPr>
      <w:r>
        <w:t xml:space="preserve">National Institute for Health and Care Excellence (NICE). (2023). *Diabetic Eye Screening Programme Guidelines*. London: NHS England.</w:t>
      </w:r>
    </w:p>
    <w:p>
      <w:pPr>
        <w:numPr>
          <w:ilvl w:val="0"/>
          <w:numId w:val="1001"/>
        </w:numPr>
        <w:pStyle w:val="Compact"/>
      </w:pPr>
      <w:r>
        <w:t xml:space="preserve">Royal College of Ophthalmologists. (2024). *State of the Nation Report: Ophthalmic Services in the UK*. London:</w:t>
      </w:r>
    </w:p>
    <w:p>
      <w:pPr>
        <w:numPr>
          <w:ilvl w:val="0"/>
          <w:numId w:val="1001"/>
        </w:numPr>
        <w:pStyle w:val="Compact"/>
      </w:pPr>
      <w:r>
        <w:t xml:space="preserve">O’Connor, A., &amp; Smith, J. (2023). "Tele-ophthalmology and Equity in Urban Health Systems." *British Journal of Ophthalmology*, 107(5), 678-685.</w:t>
      </w:r>
    </w:p>
    <w:p>
      <w:pPr>
        <w:numPr>
          <w:ilvl w:val="0"/>
          <w:numId w:val="1001"/>
        </w:numPr>
        <w:pStyle w:val="Compact"/>
      </w:pPr>
      <w:r>
        <w:t xml:space="preserve">London Health Observatory. (2024). *Demographic Trends and Eye Disease Prevalence in Greater London*. UK: Public Health England.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Kingdom London: Navigating Clinical Excellence, Digital Innovation, and Health System Equity</dc:title>
  <dc:creator/>
  <cp:keywords/>
  <dcterms:created xsi:type="dcterms:W3CDTF">2026-07-29T19:51:54Z</dcterms:created>
  <dcterms:modified xsi:type="dcterms:W3CDTF">2026-07-29T19:51:54Z</dcterms:modified>
</cp:coreProperties>
</file>

<file path=docProps/custom.xml><?xml version="1.0" encoding="utf-8"?>
<Properties xmlns="http://schemas.openxmlformats.org/officeDocument/2006/custom-properties" xmlns:vt="http://schemas.openxmlformats.org/officeDocument/2006/docPropsVTypes"/>
</file>