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and</w:t>
      </w:r>
      <w:r>
        <w:t xml:space="preserve"> </w:t>
      </w:r>
      <w:r>
        <w:t xml:space="preserve">Berlin</w:t>
      </w:r>
    </w:p>
    <w:bookmarkStart w:id="28" w:name="X183b78bc9f171faa1a16f3d0105952f90fcd594"/>
    <w:p>
      <w:pPr>
        <w:pStyle w:val="Heading1"/>
      </w:pPr>
      <w:r>
        <w:t xml:space="preserve">The Evolving Role of the Optometrist in Healthcare Systems: A Focus on Germany and Berlin</w:t>
      </w:r>
    </w:p>
    <w:p>
      <w:pPr>
        <w:pStyle w:val="FirstParagraph"/>
      </w:pPr>
      <w:r>
        <w:rPr>
          <w:bCs/>
          <w:b/>
        </w:rPr>
        <w:t xml:space="preserve">Presentation for the International Conference on Vision Care Policy</w:t>
      </w:r>
    </w:p>
    <w:p>
      <w:pPr>
        <w:pStyle w:val="BodyText"/>
      </w:pPr>
      <w:r>
        <w:rPr>
          <w:iCs/>
          <w:i/>
        </w:rPr>
        <w:t xml:space="preserve">Prepared for stakeholders in Germany and Berlin regarding primary eye care integration.</w:t>
      </w:r>
    </w:p>
    <w:bookmarkStart w:id="20" w:name="abstract"/>
    <w:p>
      <w:pPr>
        <w:pStyle w:val="Heading2"/>
      </w:pPr>
      <w:r>
        <w:t xml:space="preserve">Abstract</w:t>
      </w:r>
    </w:p>
    <w:p>
      <w:pPr>
        <w:pStyle w:val="FirstParagraph"/>
      </w:pPr>
      <w:r>
        <w:t xml:space="preserve">This conference paper examines the critical transition of the Optometrist from a vision correction specialist to a primary healthcare provider, with specific emphasis on the unique regulatory and demographic landscape of Germany and Berlin. As global eye care models shift toward early detection and management of ocular disease, this document analyzes how Berlin’s dense urban environment presents both challenges and opportunities for expanding the scope of practice for Optometrists. We argue that integrating advanced Optometry into the German statutory health insurance framework is essential for addressing rising rates of diabetes-related blindness, glaucoma, and age-related macular degeneration.</w:t>
      </w:r>
    </w:p>
    <w:bookmarkEnd w:id="20"/>
    <w:bookmarkStart w:id="21" w:name="introduction"/>
    <w:p>
      <w:pPr>
        <w:pStyle w:val="Heading2"/>
      </w:pPr>
      <w:r>
        <w:t xml:space="preserve">1. Introduction</w:t>
      </w:r>
    </w:p>
    <w:p>
      <w:pPr>
        <w:pStyle w:val="FirstParagraph"/>
      </w:pPr>
      <w:r>
        <w:t xml:space="preserve">In the contemporary medical landscape, the boundaries between traditional ophthalmology and optometric care are increasingly fluid. While Ophthalmologists provide medical and surgical treatment for eye diseases, Optometrists serve as frontline diagnosticians responsible for visual assessment, refractive error management, and preliminary screening of ocular pathology. This distinction is vital in understanding how healthcare systems can optimize resources. For Germany, a nation renowned for its rigorous medical standards but often criticized by international bodies (such as the OECD) for fragmented primary care access, the professionalization of the Optometrist offers a strategic solution.</w:t>
      </w:r>
    </w:p>
    <w:p>
      <w:pPr>
        <w:pStyle w:val="BodyText"/>
      </w:pPr>
      <w:r>
        <w:t xml:space="preserve">Berlin, as the capital city and a hub of innovation in Europe, serves as an ideal case study. With its aging population and high prevalence of chronic diseases affecting vision, Berlin requires an efficient model for distributing eye care responsibilities. This paper explores how empowering the Optometrist can alleviate pressure on ophthalmological clinics while ensuring citizens receive timely preventive care.</w:t>
      </w:r>
    </w:p>
    <w:bookmarkEnd w:id="21"/>
    <w:bookmarkStart w:id="22" w:name="the-regulatory-landscape-in-germany"/>
    <w:p>
      <w:pPr>
        <w:pStyle w:val="Heading2"/>
      </w:pPr>
      <w:r>
        <w:t xml:space="preserve">2. The Regulatory Landscape in Germany</w:t>
      </w:r>
    </w:p>
    <w:p>
      <w:pPr>
        <w:pStyle w:val="FirstParagraph"/>
      </w:pPr>
      <w:r>
        <w:t xml:space="preserve">To understand the potential of the Optometrist in Germany, one must first address the legal definitions governing eye care. Historically, Germany has distinguished between "Augenoptiker" (eyeglass makers and sellers) and medical eye care provided by physicians. The term "Optometrist," as understood in North America or Australia—implying a university-trained healthcare professional with diagnostic authority—has faced regulatory hurdles.</w:t>
      </w:r>
    </w:p>
    <w:p>
      <w:pPr>
        <w:pStyle w:val="BodyText"/>
      </w:pPr>
      <w:r>
        <w:t xml:space="preserve">However, recent legislative discussions in Berlin have begun to shift this paradigm. The debate centers on whether Optometrists should be granted the right to prescribe certain medications and perform more advanced diagnostic imaging without immediate referral. In Germany, the principle of "Freie Arztwahl" (free choice of doctor) allows patients direct access to specialists, but high demand often leads to long wait times. By expanding the scope of practice for certified Optometrists, Berlin can create a tiered system where routine screenings and low-risk prescriptions are handled efficiently by non-physician professionals, freeing up medical ophthalmologists for complex surgical and pathological cases.</w:t>
      </w:r>
    </w:p>
    <w:bookmarkEnd w:id="22"/>
    <w:bookmarkStart w:id="23" w:name="demographic-challenges-in-berlin"/>
    <w:p>
      <w:pPr>
        <w:pStyle w:val="Heading2"/>
      </w:pPr>
      <w:r>
        <w:t xml:space="preserve">3. Demographic Challenges in Berlin</w:t>
      </w:r>
    </w:p>
    <w:p>
      <w:pPr>
        <w:pStyle w:val="FirstParagraph"/>
      </w:pPr>
      <w:r>
        <w:t xml:space="preserve">Berlin is experiencing significant demographic shifts that directly impact the demand for Optometry services. The city has one of the oldest populations in Germany, leading to a higher incidence of age-related eye conditions such as cataracts, glaucoma, and dry eye syndrome. Furthermore, Berlin’s lifestyle contributes to increased digital eye strain among its young population.</w:t>
      </w:r>
    </w:p>
    <w:p>
      <w:pPr>
        <w:pStyle w:val="BodyText"/>
      </w:pPr>
      <w:r>
        <w:rPr>
          <w:bCs/>
          <w:b/>
        </w:rPr>
        <w:t xml:space="preserve">3.1 Diabetes and Retinopathy</w:t>
      </w:r>
      <w:r>
        <w:br/>
      </w:r>
      <w:r>
        <w:t xml:space="preserve">Germany has a high prevalence of Type 2 diabetes. Diabetic retinopathy is a leading cause of blindness in working-age adults. In Berlin’s public health system, early detection is paramount but often delayed due to systemic bottlenecks. An Optometrist trained in fundus photography and OCT (Optical Coherence Tomography) screening can identify early signs of retinopathy, allowing for immediate referral to an ophthalmologist or endocrinologist for intervention.</w:t>
      </w:r>
    </w:p>
    <w:p>
      <w:pPr>
        <w:pStyle w:val="BodyText"/>
      </w:pPr>
      <w:r>
        <w:rPr>
          <w:bCs/>
          <w:b/>
        </w:rPr>
        <w:t xml:space="preserve">3.2 Urban Health Disparities</w:t>
      </w:r>
      <w:r>
        <w:br/>
      </w:r>
      <w:r>
        <w:t xml:space="preserve">Berlin exhibits stark health disparities between districts. In underserved areas, access to private ophthalmologists may be limited by cost or distance. Mobile Optometry units and community-based clinics staffed by trained Optometrists can bridge this gap, providing affordable visual checks and health education to vulnerable populations.</w:t>
      </w:r>
    </w:p>
    <w:bookmarkEnd w:id="23"/>
    <w:bookmarkStart w:id="24" w:name="X21a57ce9d6599cc78c041161b3b51aa34b5cf48"/>
    <w:p>
      <w:pPr>
        <w:pStyle w:val="Heading2"/>
      </w:pPr>
      <w:r>
        <w:t xml:space="preserve">4. The Economic Case for Expanded Optometric Scope</w:t>
      </w:r>
    </w:p>
    <w:p>
      <w:pPr>
        <w:pStyle w:val="FirstParagraph"/>
      </w:pPr>
      <w:r>
        <w:t xml:space="preserve">The integration of a robust Optometric profession in Berlin offers significant economic benefits to the German healthcare system. Currently, many patients with minor vision issues or routine check-ups contribute to overcrowding in ophthalmology practices. By delegating these tasks to the Optometrist:</w:t>
      </w:r>
    </w:p>
    <w:p>
      <w:pPr>
        <w:numPr>
          <w:ilvl w:val="0"/>
          <w:numId w:val="1001"/>
        </w:numPr>
        <w:pStyle w:val="Compact"/>
      </w:pPr>
      <w:r>
        <w:rPr>
          <w:bCs/>
          <w:b/>
        </w:rPr>
        <w:t xml:space="preserve">Cost Efficiency:</w:t>
      </w:r>
      <w:r>
        <w:t xml:space="preserve"> </w:t>
      </w:r>
      <w:r>
        <w:t xml:space="preserve">Reimbursement rates for optometric services can be lower than specialist consultations, reducing the overall burden on statutory health insurance funds (GKV).</w:t>
      </w:r>
    </w:p>
    <w:p>
      <w:pPr>
        <w:numPr>
          <w:ilvl w:val="0"/>
          <w:numId w:val="1001"/>
        </w:numPr>
        <w:pStyle w:val="Compact"/>
      </w:pPr>
      <w:r>
        <w:rPr>
          <w:bCs/>
          <w:b/>
        </w:rPr>
        <w:t xml:space="preserve">Rework Reduction:</w:t>
      </w:r>
      <w:r>
        <w:t xml:space="preserve"> </w:t>
      </w:r>
      <w:r>
        <w:t xml:space="preserve">Proper triage by an Optometrist ensures that patients who are referred to ophthalmologists truly require medical intervention, reducing unnecessary appointments.</w:t>
      </w:r>
    </w:p>
    <w:p>
      <w:pPr>
        <w:numPr>
          <w:ilvl w:val="0"/>
          <w:numId w:val="1001"/>
        </w:numPr>
        <w:pStyle w:val="Compact"/>
      </w:pPr>
      <w:r>
        <w:rPr>
          <w:bCs/>
          <w:b/>
        </w:rPr>
        <w:t xml:space="preserve">Economic Activity:</w:t>
      </w:r>
      <w:r>
        <w:t xml:space="preserve"> </w:t>
      </w:r>
      <w:r>
        <w:t xml:space="preserve">Establishing new clinics and training centers for Optometry in Berlin creates jobs and fosters a local healthcare industry focused on vision science.</w:t>
      </w:r>
    </w:p>
    <w:bookmarkEnd w:id="24"/>
    <w:bookmarkStart w:id="25" w:name="Xa4fba88e90ff5ea72210b92896f0520a1b0732a"/>
    <w:p>
      <w:pPr>
        <w:pStyle w:val="Heading2"/>
      </w:pPr>
      <w:r>
        <w:t xml:space="preserve">5. Recommendations for Policy Implementation</w:t>
      </w:r>
    </w:p>
    <w:p>
      <w:pPr>
        <w:pStyle w:val="FirstParagraph"/>
      </w:pPr>
      <w:r>
        <w:t xml:space="preserve">To fully realize the potential of the Optometrist in Germany, particularly in Berlin, the following steps are recommended:</w:t>
      </w:r>
    </w:p>
    <w:p>
      <w:pPr>
        <w:numPr>
          <w:ilvl w:val="0"/>
          <w:numId w:val="1002"/>
        </w:numPr>
        <w:pStyle w:val="Compact"/>
      </w:pPr>
      <w:r>
        <w:rPr>
          <w:bCs/>
          <w:b/>
        </w:rPr>
        <w:t xml:space="preserve">Bachelor’s Degree Standardization:</w:t>
      </w:r>
      <w:r>
        <w:t xml:space="preserve"> </w:t>
      </w:r>
      <w:r>
        <w:t xml:space="preserve">Ensure that all practicing Optometrists hold a recognized university degree (Bachelor/Master) rather than vocational certificates alone. This guarantees a standardized level of clinical competence across the city.</w:t>
      </w:r>
    </w:p>
    <w:p>
      <w:pPr>
        <w:numPr>
          <w:ilvl w:val="0"/>
          <w:numId w:val="1002"/>
        </w:numPr>
        <w:pStyle w:val="Compact"/>
      </w:pPr>
      <w:r>
        <w:rPr>
          <w:bCs/>
          <w:b/>
        </w:rPr>
        <w:t xml:space="preserve">Gematik Integration:</w:t>
      </w:r>
      <w:r>
        <w:t xml:space="preserve"> </w:t>
      </w:r>
      <w:r>
        <w:t xml:space="preserve">Integrate Optometric diagnostic data into the German telematics infrastructure. If an Optometrist performs an OCT scan, this data should be securely shared with the treating ophthalmologist via electronic health records (ePA), facilitating seamless care coordination.</w:t>
      </w:r>
    </w:p>
    <w:p>
      <w:pPr>
        <w:numPr>
          <w:ilvl w:val="0"/>
          <w:numId w:val="1002"/>
        </w:numPr>
        <w:pStyle w:val="Compact"/>
      </w:pPr>
      <w:r>
        <w:rPr>
          <w:bCs/>
          <w:b/>
        </w:rPr>
        <w:t xml:space="preserve">Pilot Programs in Berlin:</w:t>
      </w:r>
      <w:r>
        <w:t xml:space="preserve"> </w:t>
      </w:r>
      <w:r>
        <w:t xml:space="preserve">The Senate of Berlin should initiate pilot programs in specific districts (e.g., Neukölln or Spandau) to test expanded prescribing rights for dry eye therapy and simple refractive errors. Data from these pilots can inform national policy changes.</w:t>
      </w:r>
    </w:p>
    <w:p>
      <w:pPr>
        <w:numPr>
          <w:ilvl w:val="0"/>
          <w:numId w:val="1002"/>
        </w:numPr>
        <w:pStyle w:val="Compact"/>
      </w:pPr>
      <w:r>
        <w:rPr>
          <w:bCs/>
          <w:b/>
        </w:rPr>
        <w:t xml:space="preserve">Patient Education Campaigns:</w:t>
      </w:r>
      <w:r>
        <w:t xml:space="preserve"> </w:t>
      </w:r>
      <w:r>
        <w:t xml:space="preserve">Launch public awareness campaigns in Berlin informing citizens that Optometrists are qualified healthcare providers capable of diagnosing serious conditions like glaucoma, encouraging them to visit an Optometrist for routine checks rather than waiting for symptoms to appear.</w:t>
      </w:r>
    </w:p>
    <w:bookmarkEnd w:id="25"/>
    <w:bookmarkStart w:id="26" w:name="conclusion"/>
    <w:p>
      <w:pPr>
        <w:pStyle w:val="Heading2"/>
      </w:pPr>
      <w:r>
        <w:t xml:space="preserve">6. Conclusion</w:t>
      </w:r>
    </w:p>
    <w:p>
      <w:pPr>
        <w:pStyle w:val="FirstParagraph"/>
      </w:pPr>
      <w:r>
        <w:t xml:space="preserve">The role of the Optometrist is no longer limited to selling spectacles; it is a vital component of modern preventive healthcare. For Germany, and specifically Berlin, embracing this evolution is not merely an academic exercise but a practical necessity driven by demographic realities and economic constraints. By legally recognizing the advanced competencies of the Optometrist and integrating them into the primary care pathway, Berlin can set a precedent for other German cities to follow.</w:t>
      </w:r>
    </w:p>
    <w:p>
      <w:pPr>
        <w:pStyle w:val="BodyText"/>
      </w:pPr>
      <w:r>
        <w:t xml:space="preserve">We must move beyond traditional silos of medical practice. The collaborative model, where Ophthalmologists handle complex pathology and Optometrists manage preventive screening and refractive health, offers the most sustainable future for eye care in Germany. This conference paper urges policymakers, healthcare providers, and educational institutions to collaborate immediately to establish a framework that empowers the German Optometrist as a key guardian of public vision.</w:t>
      </w:r>
    </w:p>
    <w:bookmarkEnd w:id="26"/>
    <w:bookmarkStart w:id="27" w:name="references"/>
    <w:p>
      <w:pPr>
        <w:pStyle w:val="Heading2"/>
      </w:pPr>
      <w:r>
        <w:t xml:space="preserve">References</w:t>
      </w:r>
    </w:p>
    <w:p>
      <w:pPr>
        <w:numPr>
          <w:ilvl w:val="0"/>
          <w:numId w:val="1003"/>
        </w:numPr>
        <w:pStyle w:val="Compact"/>
      </w:pPr>
      <w:r>
        <w:t xml:space="preserve">Bundesverband der Augenoptiker und Augenmeister Deutschlands. (2023). *Report on Visual Health in Urban Centers.*</w:t>
      </w:r>
    </w:p>
    <w:p>
      <w:pPr>
        <w:numPr>
          <w:ilvl w:val="0"/>
          <w:numId w:val="1003"/>
        </w:numPr>
        <w:pStyle w:val="Compact"/>
      </w:pPr>
      <w:r>
        <w:t xml:space="preserve">Gemeinsamer Bundesausschuss (G-BA). (2024). *Guidelines for Primary Eye Care and Referral Pathways.*</w:t>
      </w:r>
    </w:p>
    <w:p>
      <w:pPr>
        <w:numPr>
          <w:ilvl w:val="0"/>
          <w:numId w:val="1003"/>
        </w:numPr>
        <w:pStyle w:val="Compact"/>
      </w:pPr>
      <w:r>
        <w:t xml:space="preserve">Senate of Berlin, Department of Health. (2023). *Berlin Health Monitor: Diabetes and Vision Outcomes.*</w:t>
      </w:r>
    </w:p>
    <w:p>
      <w:pPr>
        <w:numPr>
          <w:ilvl w:val="0"/>
          <w:numId w:val="1003"/>
        </w:numPr>
        <w:pStyle w:val="Compact"/>
      </w:pPr>
      <w:r>
        <w:t xml:space="preserve">World Optometry Association. (2022). *Global Standards for Optometric Education and Scope of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Healthcare Systems: A Focus on Germany and Berlin</dc:title>
  <dc:creator/>
  <dc:language>en</dc:language>
  <cp:keywords/>
  <dcterms:created xsi:type="dcterms:W3CDTF">2026-07-29T09:50:58Z</dcterms:created>
  <dcterms:modified xsi:type="dcterms:W3CDTF">2026-07-29T09:50:58Z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