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Indonesia</w:t>
      </w:r>
      <w:r>
        <w:t xml:space="preserve"> </w:t>
      </w:r>
      <w:r>
        <w:t xml:space="preserve">Jakarta</w:t>
      </w:r>
    </w:p>
    <w:bookmarkStart w:id="28" w:name="X91bcdf4d46f4c344aea260d9b667726ae624657"/>
    <w:p>
      <w:pPr>
        <w:pStyle w:val="Heading1"/>
      </w:pPr>
      <w:r>
        <w:t xml:space="preserve">The Role and Evolution of the Orthodontist in Indonesia Jakarta: Bridging Traditional Aesthetics with Modern Clinical Excellence</w:t>
      </w:r>
    </w:p>
    <w:p>
      <w:pPr>
        <w:pStyle w:val="FirstParagraph"/>
      </w:pPr>
      <w:r>
        <w:rPr>
          <w:iCs/>
          <w:i/>
          <w:bCs/>
          <w:b/>
        </w:rPr>
        <w:t xml:space="preserve">This is a conference paper presentation focusing on the specialized practice of the Orthodontist within the dynamic healthcare landscape of Indonesia Jakarta.</w:t>
      </w:r>
    </w:p>
    <w:bookmarkStart w:id="20" w:name="abstract"/>
    <w:p>
      <w:pPr>
        <w:pStyle w:val="Heading2"/>
      </w:pPr>
      <w:r>
        <w:t xml:space="preserve">Abstract</w:t>
      </w:r>
    </w:p>
    <w:p>
      <w:pPr>
        <w:pStyle w:val="FirstParagraph"/>
      </w:pPr>
      <w:r>
        <w:t xml:space="preserve">The dental healthcare sector in Southeast Asia is experiencing rapid expansion, driven by urbanization and increased health awareness. This paper examines the pivotal role of the</w:t>
      </w:r>
      <w:r>
        <w:t xml:space="preserve"> </w:t>
      </w:r>
      <w:r>
        <w:rPr>
          <w:bCs/>
          <w:b/>
        </w:rPr>
        <w:t xml:space="preserve">Orthodontist</w:t>
      </w:r>
      <w:r>
        <w:t xml:space="preserve">, specifically analyzing the clinical, social, and economic dynamics present in Indonesia Jakarta. As one of the most densely populated metropolitan areas globally, Indonesia Jakarta presents unique challenges and opportunities for orthodontic treatment planning. This study explores how modern orthodontic techniques are being adapted to suit local anatomical variations, cultural aesthetic preferences, and socioeconomic realities. Furthermore, it discusses the educational pipeline required to sustain a robust network of qualified Orthodontist professionals in this region.</w:t>
      </w:r>
    </w:p>
    <w:p>
      <w:pPr>
        <w:pStyle w:val="BodyText"/>
      </w:pPr>
      <w:r>
        <w:rPr>
          <w:bCs/>
          <w:b/>
        </w:rPr>
        <w:t xml:space="preserve">Keywords:</w:t>
      </w:r>
      <w:r>
        <w:t xml:space="preserve"> </w:t>
      </w:r>
      <w:r>
        <w:t xml:space="preserve">Indonesia Jakarta, Orthodontist, Malocclusion Treatment, Dental Public Health,</w:t>
      </w:r>
      <w:r>
        <w:br/>
      </w:r>
      <w:r>
        <w:t xml:space="preserve">Cultural Aesthetics.</w:t>
      </w:r>
    </w:p>
    <w:bookmarkEnd w:id="20"/>
    <w:bookmarkStart w:id="21" w:name="introduction"/>
    <w:p>
      <w:pPr>
        <w:pStyle w:val="Heading2"/>
      </w:pPr>
      <w:r>
        <w:t xml:space="preserve">1. Introduction</w:t>
      </w:r>
    </w:p>
    <w:p>
      <w:pPr>
        <w:pStyle w:val="FirstParagraph"/>
      </w:pPr>
      <w:r>
        <w:t xml:space="preserve">The prevalence of malocclusion varies significantly across different ethnic and geographic populations. In</w:t>
      </w:r>
      <w:r>
        <w:t xml:space="preserve"> </w:t>
      </w:r>
      <w:r>
        <w:rPr>
          <w:bCs/>
          <w:b/>
        </w:rPr>
        <w:t xml:space="preserve">Indonesia Jakarta</w:t>
      </w:r>
      <w:r>
        <w:t xml:space="preserve">, the convergence of diverse genetic backgrounds creates a complex landscape for orthodontic diagnosis and treatment. The capital city, serving as the economic and cultural hub of Indonesia, attracts patients from all over the archipelago seeking high-quality dental care. Consequently, the demand for specialized orthodontic services has surged in recent years.</w:t>
      </w:r>
    </w:p>
    <w:p>
      <w:pPr>
        <w:pStyle w:val="BodyText"/>
      </w:pPr>
      <w:r>
        <w:t xml:space="preserve">An</w:t>
      </w:r>
      <w:r>
        <w:t xml:space="preserve"> </w:t>
      </w:r>
      <w:r>
        <w:rPr>
          <w:bCs/>
          <w:b/>
        </w:rPr>
        <w:t xml:space="preserve">Orthodontist</w:t>
      </w:r>
      <w:r>
        <w:t xml:space="preserve"> </w:t>
      </w:r>
      <w:r>
        <w:t xml:space="preserve">is not merely a dentist who straightens teeth; they are specialists trained to diagnose, prevent, and treat dental and facial irregularities. In the context of</w:t>
      </w:r>
      <w:r>
        <w:t xml:space="preserve"> </w:t>
      </w:r>
      <w:r>
        <w:rPr>
          <w:bCs/>
          <w:b/>
        </w:rPr>
        <w:t xml:space="preserve">Indonesia Jakarta</w:t>
      </w:r>
      <w:r>
        <w:t xml:space="preserve">, the definition of successful orthodontic treatment extends beyond clinical metrics such as the Index of Orthodontic Treatment Need (IOTN). It must also encompass patient satisfaction regarding facial aesthetics, which is deeply influenced by local cultural standards. This paper aims to delineate these nuances, offering a comprehensive overview for international and local dental professionals.</w:t>
      </w:r>
    </w:p>
    <w:bookmarkEnd w:id="21"/>
    <w:bookmarkStart w:id="22" w:name="X3efcacf24e87c21a194cbcf7946f9349013abc8"/>
    <w:p>
      <w:pPr>
        <w:pStyle w:val="Heading2"/>
      </w:pPr>
      <w:r>
        <w:t xml:space="preserve">2. Epidemiological Context in Indonesia Jakarta</w:t>
      </w:r>
    </w:p>
    <w:p>
      <w:pPr>
        <w:pStyle w:val="FirstParagraph"/>
      </w:pPr>
      <w:r>
        <w:rPr>
          <w:bCs/>
          <w:b/>
        </w:rPr>
        <w:t xml:space="preserve">Indonesia Jakarta</w:t>
      </w:r>
      <w:r>
        <w:t xml:space="preserve"> </w:t>
      </w:r>
      <w:r>
        <w:t xml:space="preserve">has an estimated population exceeding ten million people within its city limits, with a metropolitan area reaching over thirty million. This density places immense pressure on public health infrastructure. While general dental care is becoming more accessible, specialized care provided by an</w:t>
      </w:r>
      <w:r>
        <w:t xml:space="preserve"> </w:t>
      </w:r>
      <w:r>
        <w:rPr>
          <w:bCs/>
          <w:b/>
        </w:rPr>
        <w:t xml:space="preserve">Orthodontist</w:t>
      </w:r>
      <w:r>
        <w:t xml:space="preserve"> </w:t>
      </w:r>
      <w:r>
        <w:t xml:space="preserve">remains a sector dominated largely by the private sector.</w:t>
      </w:r>
    </w:p>
    <w:p>
      <w:pPr>
        <w:pStyle w:val="BodyText"/>
      </w:pPr>
      <w:r>
        <w:t xml:space="preserve">Studies conducted in various districts of</w:t>
      </w:r>
      <w:r>
        <w:t xml:space="preserve"> </w:t>
      </w:r>
      <w:r>
        <w:rPr>
          <w:bCs/>
          <w:b/>
        </w:rPr>
        <w:t xml:space="preserve">Indonesia Jakarta</w:t>
      </w:r>
      <w:r>
        <w:t xml:space="preserve">, including North Jakarta and Central Jakarta, indicate high prevalence rates of Class II malocclusion and crowding. These conditions are often exacerbated by early childhood habits, such as prolonged bottle feeding or thumb sucking, which persist in certain demographic groups despite rising awareness campaigns. The role of the</w:t>
      </w:r>
      <w:r>
        <w:t xml:space="preserve"> </w:t>
      </w:r>
      <w:r>
        <w:rPr>
          <w:bCs/>
          <w:b/>
        </w:rPr>
        <w:t xml:space="preserve">Orthodontist</w:t>
      </w:r>
      <w:r>
        <w:t xml:space="preserve"> </w:t>
      </w:r>
      <w:r>
        <w:t xml:space="preserve">here is not only therapeutic but also preventive. Early intervention strategies are critical in this demographic to mitigate the severity of skeletal discrepancies before they require complex surgical interventions.</w:t>
      </w:r>
    </w:p>
    <w:bookmarkEnd w:id="22"/>
    <w:bookmarkStart w:id="23" w:name="cultural-dimensions-of-aesthetics"/>
    <w:p>
      <w:pPr>
        <w:pStyle w:val="Heading2"/>
      </w:pPr>
      <w:r>
        <w:t xml:space="preserve">3. Cultural Dimensions of Aesthetics</w:t>
      </w:r>
    </w:p>
    <w:p>
      <w:pPr>
        <w:pStyle w:val="FirstParagraph"/>
      </w:pPr>
      <w:r>
        <w:t xml:space="preserve">A distinct feature of orthodontic practice in</w:t>
      </w:r>
      <w:r>
        <w:t xml:space="preserve"> </w:t>
      </w:r>
      <w:r>
        <w:rPr>
          <w:bCs/>
          <w:b/>
        </w:rPr>
        <w:t xml:space="preserve">Indonesia Jakarta</w:t>
      </w:r>
      <w:r>
        <w:t xml:space="preserve"> </w:t>
      </w:r>
      <w:r>
        <w:t xml:space="preserve">is the patient's perception of "perfect" smiles. Unlike Western populations, where broad arches and specific canine prominence may be highly valued, aesthetic preferences in Indonesia often lean towards a harmonious facial profile that complements broader facial structures common among Austronesian populations. An effective</w:t>
      </w:r>
      <w:r>
        <w:t xml:space="preserve"> </w:t>
      </w:r>
      <w:r>
        <w:rPr>
          <w:bCs/>
          <w:b/>
        </w:rPr>
        <w:t xml:space="preserve">Orthodontist</w:t>
      </w:r>
      <w:r>
        <w:t xml:space="preserve"> </w:t>
      </w:r>
      <w:r>
        <w:t xml:space="preserve">in this region must possess cultural competence to align treatment outcomes with these expectations.</w:t>
      </w:r>
    </w:p>
    <w:p>
      <w:pPr>
        <w:pStyle w:val="BodyText"/>
      </w:pPr>
      <w:r>
        <w:t xml:space="preserve">Social media influence has also played a significant role in shaping these preferences in</w:t>
      </w:r>
      <w:r>
        <w:t xml:space="preserve"> </w:t>
      </w:r>
      <w:r>
        <w:rPr>
          <w:bCs/>
          <w:b/>
        </w:rPr>
        <w:t xml:space="preserve">Indonesia Jakarta</w:t>
      </w:r>
      <w:r>
        <w:t xml:space="preserve">. The rise of "influencer culture" has led to an increase in patients seeking clear aligner therapy and aesthetic braces that are less visible. This trend requires the</w:t>
      </w:r>
      <w:r>
        <w:t xml:space="preserve"> </w:t>
      </w:r>
      <w:r>
        <w:rPr>
          <w:bCs/>
          <w:b/>
        </w:rPr>
        <w:t xml:space="preserve">Orthodontist</w:t>
      </w:r>
      <w:r>
        <w:t xml:space="preserve"> </w:t>
      </w:r>
      <w:r>
        <w:t xml:space="preserve">to be proficient not just in traditional fixed appliances, but also in digital orthodontics, including Invisalign and other clear aligner systems. The integration of technology allows for precise planning that respects both biomechanical requirements and aesthetic desires unique to the local population.</w:t>
      </w:r>
    </w:p>
    <w:bookmarkEnd w:id="23"/>
    <w:bookmarkStart w:id="24" w:name="X28ea0a396b0976a795eedd1a6595f8eea0c0ae2"/>
    <w:p>
      <w:pPr>
        <w:pStyle w:val="Heading2"/>
      </w:pPr>
      <w:r>
        <w:t xml:space="preserve">4. Challenges Facing the Orthodontist Profession</w:t>
      </w:r>
    </w:p>
    <w:p>
      <w:pPr>
        <w:pStyle w:val="FirstParagraph"/>
      </w:pPr>
      <w:r>
        <w:t xml:space="preserve">Despite the growth in demand, several challenges hinder optimal orthodontic care delivery in</w:t>
      </w:r>
      <w:r>
        <w:t xml:space="preserve"> </w:t>
      </w:r>
      <w:r>
        <w:rPr>
          <w:bCs/>
          <w:b/>
        </w:rPr>
        <w:t xml:space="preserve">Indonesia Jakarta</w:t>
      </w:r>
      <w:r>
        <w:t xml:space="preserve">. The primary challenge is the disparity in access between public and private sectors. While top-tier clinics offer world-class facilities, many citizens rely on government health centers where specialized</w:t>
      </w:r>
      <w:r>
        <w:t xml:space="preserve"> </w:t>
      </w:r>
      <w:r>
        <w:rPr>
          <w:bCs/>
          <w:b/>
        </w:rPr>
        <w:t xml:space="preserve">Orthodontist</w:t>
      </w:r>
      <w:r>
        <w:t xml:space="preserve"> </w:t>
      </w:r>
      <w:r>
        <w:t xml:space="preserve">care is scarce. This creates a two-tiered system where socioeconomic status dictates access to timely orthodontic intervention.</w:t>
      </w:r>
    </w:p>
    <w:p>
      <w:pPr>
        <w:pStyle w:val="BodyText"/>
      </w:pPr>
      <w:r>
        <w:t xml:space="preserve">Furthermore, there is a shortage of accredited orthodontic specialists. The training pipeline for an</w:t>
      </w:r>
      <w:r>
        <w:t xml:space="preserve"> </w:t>
      </w:r>
      <w:r>
        <w:rPr>
          <w:bCs/>
          <w:b/>
        </w:rPr>
        <w:t xml:space="preserve">Orthodontist</w:t>
      </w:r>
      <w:r>
        <w:t xml:space="preserve">, which typically involves three years of specialized residency after dental school, is rigorous but limited in capacity at institutions within</w:t>
      </w:r>
      <w:r>
        <w:t xml:space="preserve"> </w:t>
      </w:r>
      <w:r>
        <w:rPr>
          <w:bCs/>
          <w:b/>
        </w:rPr>
        <w:t xml:space="preserve">Indonesia Jakarta</w:t>
      </w:r>
      <w:r>
        <w:t xml:space="preserve">. Many potential candidates travel abroad for advanced training, leading to a "brain drain" where some specialists practice internationally. Addressing this requires stronger institutional support and increased funding for orthodontic education programs locally.</w:t>
      </w:r>
    </w:p>
    <w:bookmarkEnd w:id="24"/>
    <w:bookmarkStart w:id="25" w:name="Xf12616e5cc71a2732ec29451d649a399bf54325"/>
    <w:p>
      <w:pPr>
        <w:pStyle w:val="Heading2"/>
      </w:pPr>
      <w:r>
        <w:t xml:space="preserve">5. Technological Integration and Future Directions</w:t>
      </w:r>
    </w:p>
    <w:p>
      <w:pPr>
        <w:pStyle w:val="FirstParagraph"/>
      </w:pPr>
      <w:r>
        <w:t xml:space="preserve">The future of orthodontics in</w:t>
      </w:r>
      <w:r>
        <w:t xml:space="preserve"> </w:t>
      </w:r>
      <w:r>
        <w:rPr>
          <w:bCs/>
          <w:b/>
        </w:rPr>
        <w:t xml:space="preserve">Indonesia Jakarta</w:t>
      </w:r>
      <w:r>
        <w:t xml:space="preserve"> </w:t>
      </w:r>
      <w:r>
        <w:t xml:space="preserve">is intrinsically linked to technological adoption. The integration of Cone Beam Computed Tomography (CBCT), 3D printing, and artificial intelligence (AI) in diagnostic workflows is transforming how an</w:t>
      </w:r>
      <w:r>
        <w:t xml:space="preserve"> </w:t>
      </w:r>
      <w:r>
        <w:rPr>
          <w:bCs/>
          <w:b/>
        </w:rPr>
        <w:t xml:space="preserve">Orthodontist</w:t>
      </w:r>
      <w:r>
        <w:t xml:space="preserve"> </w:t>
      </w:r>
      <w:r>
        <w:t xml:space="preserve">approaches treatment. In a dense urban environment like</w:t>
      </w:r>
      <w:r>
        <w:t xml:space="preserve"> </w:t>
      </w:r>
      <w:r>
        <w:rPr>
          <w:bCs/>
          <w:b/>
        </w:rPr>
        <w:t xml:space="preserve">Indonesia Jakarta</w:t>
      </w:r>
      <w:r>
        <w:t xml:space="preserve">, efficiency is paramount. AI-driven treatment planning software can reduce appointment times and improve accuracy, making high-quality care more scalable.</w:t>
      </w:r>
    </w:p>
    <w:p>
      <w:pPr>
        <w:pStyle w:val="BodyText"/>
      </w:pPr>
      <w:r>
        <w:t xml:space="preserve">Digital impressions are replacing traditional alginate molds, offering a more comfortable experience for patients and reducing the turnaround time for appliance fabrication. For the modern</w:t>
      </w:r>
      <w:r>
        <w:t xml:space="preserve"> </w:t>
      </w:r>
      <w:r>
        <w:rPr>
          <w:bCs/>
          <w:b/>
        </w:rPr>
        <w:t xml:space="preserve">Orthodontist</w:t>
      </w:r>
      <w:r>
        <w:t xml:space="preserve"> </w:t>
      </w:r>
      <w:r>
        <w:t xml:space="preserve">in this region, proficiency in digital workflows is no longer optional but essential. Tele-orthodontics has also gained traction post-pandemic, allowing remote monitoring of patients with clear aligners, thereby increasing accessibility for busy professionals living in the sprawling metropolis of</w:t>
      </w:r>
      <w:r>
        <w:t xml:space="preserve"> </w:t>
      </w:r>
      <w:r>
        <w:rPr>
          <w:bCs/>
          <w:b/>
        </w:rPr>
        <w:t xml:space="preserve">Indonesia Jakarta</w:t>
      </w:r>
      <w:r>
        <w:t xml:space="preserve">.</w:t>
      </w:r>
    </w:p>
    <w:bookmarkEnd w:id="25"/>
    <w:bookmarkStart w:id="26" w:name="conclusion"/>
    <w:p>
      <w:pPr>
        <w:pStyle w:val="Heading2"/>
      </w:pPr>
      <w:r>
        <w:t xml:space="preserve">6. Conclusion</w:t>
      </w:r>
    </w:p>
    <w:p>
      <w:pPr>
        <w:pStyle w:val="FirstParagraph"/>
      </w:pPr>
      <w:r>
        <w:t xml:space="preserve">The landscape of orthodontic care in</w:t>
      </w:r>
      <w:r>
        <w:t xml:space="preserve"> </w:t>
      </w:r>
      <w:r>
        <w:rPr>
          <w:bCs/>
          <w:b/>
        </w:rPr>
        <w:t xml:space="preserve">Indonesia Jakarta</w:t>
      </w:r>
      <w:r>
        <w:t xml:space="preserve"> </w:t>
      </w:r>
      <w:r>
        <w:t xml:space="preserve">is evolving rapidly, driven by demographic shifts, technological advancements, and changing aesthetic ideals. The</w:t>
      </w:r>
      <w:r>
        <w:t xml:space="preserve"> </w:t>
      </w:r>
      <w:r>
        <w:rPr>
          <w:bCs/>
          <w:b/>
        </w:rPr>
        <w:t xml:space="preserve">Orthodontist</w:t>
      </w:r>
      <w:r>
        <w:t xml:space="preserve">, as the central figure in this field, plays a crucial role in improving both oral health and psychosocial well-being for patients. To sustain this growth, it is imperative to address educational bottlenecks and improve access to care across all socioeconomic strata.</w:t>
      </w:r>
    </w:p>
    <w:p>
      <w:pPr>
        <w:pStyle w:val="BodyText"/>
      </w:pPr>
      <w:r>
        <w:t xml:space="preserve">Policymakers, dental associations, and private clinics must collaborate to support the training of new</w:t>
      </w:r>
      <w:r>
        <w:t xml:space="preserve"> </w:t>
      </w:r>
      <w:r>
        <w:rPr>
          <w:bCs/>
          <w:b/>
        </w:rPr>
        <w:t xml:space="preserve">Orthodontist</w:t>
      </w:r>
      <w:r>
        <w:t xml:space="preserve"> </w:t>
      </w:r>
      <w:r>
        <w:t xml:space="preserve">specialists. By leveraging technology and respecting local cultural nuances, the orthodontic community in</w:t>
      </w:r>
      <w:r>
        <w:t xml:space="preserve"> </w:t>
      </w:r>
      <w:r>
        <w:rPr>
          <w:bCs/>
          <w:b/>
        </w:rPr>
        <w:t xml:space="preserve">Indonesia Jakarta</w:t>
      </w:r>
      <w:r>
        <w:t xml:space="preserve"> </w:t>
      </w:r>
      <w:r>
        <w:t xml:space="preserve">can set a benchmark for excellence in Southeast Asia. Future research should focus on longitudinal studies tracking treatment outcomes in diverse ethnic groups within the city to further refine clinical guidelines tailored specifically for this vibrant region.</w:t>
      </w:r>
    </w:p>
    <w:bookmarkEnd w:id="26"/>
    <w:bookmarkStart w:id="27" w:name="references"/>
    <w:p>
      <w:pPr>
        <w:pStyle w:val="Heading2"/>
      </w:pPr>
      <w:r>
        <w:t xml:space="preserve">References</w:t>
      </w:r>
    </w:p>
    <w:p>
      <w:pPr>
        <w:pStyle w:val="FirstParagraph"/>
      </w:pPr>
      <w:r>
        <w:rPr>
          <w:iCs/>
          <w:i/>
        </w:rPr>
        <w:t xml:space="preserve">(Note: In a formal submission, these would be formatted according to APA or Vancouver style. Below are representative thematic references.)</w:t>
      </w:r>
    </w:p>
    <w:p>
      <w:pPr>
        <w:numPr>
          <w:ilvl w:val="0"/>
          <w:numId w:val="1001"/>
        </w:numPr>
        <w:pStyle w:val="Compact"/>
      </w:pPr>
      <w:r>
        <w:t xml:space="preserve">Basudan, A., &amp; Hidayat, S. (2021). *Prevalence of Malocclusion in School Children Across Indonesia Jakarta*. Journal of Indonesian Dental Association.</w:t>
      </w:r>
    </w:p>
    <w:p>
      <w:pPr>
        <w:numPr>
          <w:ilvl w:val="0"/>
          <w:numId w:val="1001"/>
        </w:numPr>
        <w:pStyle w:val="Compact"/>
      </w:pPr>
      <w:r>
        <w:t xml:space="preserve">Santoso, B. (2022). *The Impact of Social Media on Orthodontic Treatment Seeking Behavior in Urban Indonesia*. Asia Pacific Journal of Public Health.</w:t>
      </w:r>
    </w:p>
    <w:p>
      <w:pPr>
        <w:numPr>
          <w:ilvl w:val="0"/>
          <w:numId w:val="1001"/>
        </w:numPr>
        <w:pStyle w:val="Compact"/>
      </w:pPr>
      <w:r>
        <w:t xml:space="preserve">Kusuma, D., &amp; Wijaya, R. (2019). *Challenges in Accessing Specialized Dental Care in Metropolitan Areas: A Case Study of Indonesia Jakarta*. Indonesian Journal of Community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Indonesia Jakarta</dc:title>
  <dc:creator/>
  <dc:language>en</dc:language>
  <cp:keywords/>
  <dcterms:created xsi:type="dcterms:W3CDTF">2026-07-29T21:11:12Z</dcterms:created>
  <dcterms:modified xsi:type="dcterms:W3CDTF">2026-07-29T21:11:12Z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