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Iran:</w:t>
      </w:r>
      <w:r>
        <w:t xml:space="preserve"> </w:t>
      </w:r>
      <w:r>
        <w:t xml:space="preserve">Strategic</w:t>
      </w:r>
      <w:r>
        <w:t xml:space="preserve"> </w:t>
      </w:r>
      <w:r>
        <w:t xml:space="preserve">Integration</w:t>
      </w:r>
      <w:r>
        <w:t xml:space="preserve"> </w:t>
      </w:r>
      <w:r>
        <w:t xml:space="preserve">into</w:t>
      </w:r>
      <w:r>
        <w:t xml:space="preserve"> </w:t>
      </w:r>
      <w:r>
        <w:t xml:space="preserve">Primary</w:t>
      </w:r>
      <w:r>
        <w:t xml:space="preserve"> </w:t>
      </w:r>
      <w:r>
        <w:t xml:space="preserve">Healthcare</w:t>
      </w:r>
      <w:r>
        <w:t xml:space="preserve"> </w:t>
      </w:r>
      <w:r>
        <w:t xml:space="preserve">Systems</w:t>
      </w:r>
      <w:r>
        <w:t xml:space="preserve"> </w:t>
      </w:r>
      <w:r>
        <w:t xml:space="preserve">in</w:t>
      </w:r>
      <w:r>
        <w:t xml:space="preserve"> </w:t>
      </w:r>
      <w:r>
        <w:t xml:space="preserve">Tehran</w:t>
      </w:r>
    </w:p>
    <w:bookmarkStart w:id="30" w:name="Xbdf7c2b0cb87306c5b691c74a92feb05e6ecf7e"/>
    <w:p>
      <w:pPr>
        <w:pStyle w:val="Heading1"/>
      </w:pPr>
      <w:r>
        <w:t xml:space="preserve">The Evolving Role of the Pharmacist in Iran:</w:t>
      </w:r>
      <w:r>
        <w:br/>
      </w:r>
      <w:r>
        <w:t xml:space="preserve">Strategic Integration into Primary Healthcare Systems in Tehran</w:t>
      </w:r>
    </w:p>
    <w:p>
      <w:pPr>
        <w:pStyle w:val="FirstParagraph"/>
      </w:pPr>
      <w:r>
        <w:rPr>
          <w:bCs/>
          <w:b/>
        </w:rPr>
        <w:t xml:space="preserve">Abstract</w:t>
      </w:r>
      <w:r>
        <w:br/>
      </w:r>
      <w:r>
        <w:br/>
      </w:r>
      <w:r>
        <w:t xml:space="preserve">Tehran, as the capital and largest metropolitan hub of Iran, presents a unique epidemiological and logistical landscape for public health management. This paper examines the critical transition of the Pharmacist from a traditional dispenser of medications to an active clinical provider within the Iranian healthcare system. Focusing specifically on Tehran’s dense urban population and its complex mix of private and state-run facilities, we analyze how strategic integration can alleviate pressure on general practitioners, reduce polypharmacy risks among the elderly, and improve medication adherence. The findings suggest that empowering Pharmacists in Iran Tehran requires legislative reform, enhanced clinical training curricula for Pharm.D. students, and digital infrastructure upgrades to facilitate real-time prescription monitoring.</w:t>
      </w:r>
      <w:r>
        <w:br/>
      </w:r>
      <w:r>
        <w:br/>
      </w:r>
      <w:r>
        <w:rPr>
          <w:bCs/>
          <w:b/>
        </w:rPr>
        <w:t xml:space="preserve">Keywords:</w:t>
      </w:r>
      <w:r>
        <w:t xml:space="preserve"> </w:t>
      </w:r>
      <w:r>
        <w:t xml:space="preserve">Pharmacist, Iran Tehran, Clinical Pharmacy, Primary Healthcare, Medication Adherence</w:t>
      </w:r>
    </w:p>
    <w:bookmarkStart w:id="20" w:name="introduction"/>
    <w:p>
      <w:pPr>
        <w:pStyle w:val="Heading2"/>
      </w:pPr>
      <w:r>
        <w:t xml:space="preserve">1. Introduction</w:t>
      </w:r>
    </w:p>
    <w:p>
      <w:pPr>
        <w:pStyle w:val="FirstParagraph"/>
      </w:pPr>
      <w:r>
        <w:t xml:space="preserve">The healthcare landscape in the Islamic Republic of Iran has undergone significant transformations over the past two decades. With a population exceeding 85 million and a life expectancy that has risen steadily, the demand for accessible pharmaceutical care is at an all-time high. Nowhere is this challenge more acute than in Tehran, where rapid urbanization and population density strain existing healthcare resources. In this context, the role of the Pharmacist emerges not merely as a logistical pillar but as a clinical necessity.</w:t>
      </w:r>
    </w:p>
    <w:p>
      <w:pPr>
        <w:pStyle w:val="BodyText"/>
      </w:pPr>
      <w:r>
        <w:t xml:space="preserve">Historically, the perception of a Pharmacist in Iran was largely confined to the dispensing phase of medication management. However, global trends and internal health ministry directives point toward a paradigm shift. The concept of "Clinical Pharmacy" is gaining traction, aiming to optimize therapeutic outcomes through direct patient interaction. For Tehran specifically, where traffic congestion and overcrowding in hospitals often delay care access, community Pharmacists serve as the most accessible healthcare providers for millions of residents.</w:t>
      </w:r>
    </w:p>
    <w:bookmarkEnd w:id="20"/>
    <w:bookmarkStart w:id="21" w:name="X8bb9164fc45bc8ce620718a92eafcbb968b2aa5"/>
    <w:p>
      <w:pPr>
        <w:pStyle w:val="Heading2"/>
      </w:pPr>
      <w:r>
        <w:t xml:space="preserve">2. The Current State of Pharmaceutical Practice in Iran</w:t>
      </w:r>
    </w:p>
    <w:p>
      <w:pPr>
        <w:pStyle w:val="FirstParagraph"/>
      </w:pPr>
      <w:r>
        <w:t xml:space="preserve">In recent years, the Iranian Ministry of Health and Medical Education (MOHME) has initiated reforms to expand the scope of practice for Pharmacists. Despite these efforts, significant gaps remain between policy intent and practical implementation, particularly in major urban centers like Tehran. Many Pharmacies operate under high volume pressures due to the sheer number of patients seeking care without valid prescriptions or with chronic conditions requiring frequent adjustments.</w:t>
      </w:r>
    </w:p>
    <w:p>
      <w:pPr>
        <w:pStyle w:val="BodyText"/>
      </w:pPr>
      <w:r>
        <w:t xml:space="preserve">The integration of Pharmacists into multidisciplinary healthcare teams is still in its nascent stages. While academic institutions have upgraded their curricula to include more clinical rotations, many practicing professionals report a lack of institutional support and clear legal frameworks that define their liability and scope when providing medication therapy management (MTM).</w:t>
      </w:r>
    </w:p>
    <w:bookmarkEnd w:id="21"/>
    <w:bookmarkStart w:id="22" w:name="challenges-specific-to-tehran"/>
    <w:p>
      <w:pPr>
        <w:pStyle w:val="Heading2"/>
      </w:pPr>
      <w:r>
        <w:t xml:space="preserve">3. Challenges Specific to Tehran</w:t>
      </w:r>
    </w:p>
    <w:p>
      <w:pPr>
        <w:pStyle w:val="FirstParagraph"/>
      </w:pPr>
      <w:r>
        <w:t xml:space="preserve">Tehran presents distinct challenges compared to rural provinces in Iran. The density of pharmacies is high, yet the distribution of specialized clinical expertise is unevenly spread across districts such as Districts 1 through 22. Furthermore, the socioeconomic diversity of Tehran means that Pharmacists must navigate a wide array of health literacy levels among patients.</w:t>
      </w:r>
    </w:p>
    <w:p>
      <w:pPr>
        <w:pStyle w:val="BodyText"/>
      </w:pPr>
      <w:r>
        <w:t xml:space="preserve">One critical issue in Tehran is polypharmacy, particularly among the aging population. With non-communicable diseases (NCDs) such as diabetes and hypertension being prevalent in Iran, many patients visit multiple specialists who may prescribe overlapping medications. Pharmacists in Tehran are often the first line of defense against adverse drug events, yet they frequently lack the authority or time to conduct comprehensive medication reviews.</w:t>
      </w:r>
    </w:p>
    <w:bookmarkEnd w:id="22"/>
    <w:bookmarkStart w:id="26" w:name="X10304eee7437bc7839769ab568e9a61cd7339d0"/>
    <w:p>
      <w:pPr>
        <w:pStyle w:val="Heading2"/>
      </w:pPr>
      <w:r>
        <w:t xml:space="preserve">4. Strategic Recommendations for Enhancing Pharmacist Roles</w:t>
      </w:r>
    </w:p>
    <w:bookmarkStart w:id="23" w:name="legislative-and-policy-reform"/>
    <w:p>
      <w:pPr>
        <w:pStyle w:val="Heading3"/>
      </w:pPr>
      <w:r>
        <w:t xml:space="preserve">4.1 Legislative and Policy Reform</w:t>
      </w:r>
    </w:p>
    <w:p>
      <w:pPr>
        <w:pStyle w:val="FirstParagraph"/>
      </w:pPr>
      <w:r>
        <w:t xml:space="preserve">To fully realize the potential of the Pharmacist in Iran, legislative frameworks must be updated to explicitly recognize clinical services provided by Pharmacists. This includes reimbursement models that allow Pharmacists to bill for counseling sessions, medication therapy management, and point-of-care testing (such as HbA1c or INR monitoring). In Tehran, pilot programs in government-funded pharmacies could serve as testbeds for these policies.</w:t>
      </w:r>
    </w:p>
    <w:bookmarkEnd w:id="23"/>
    <w:bookmarkStart w:id="24" w:name="educational-enhancement"/>
    <w:p>
      <w:pPr>
        <w:pStyle w:val="Heading3"/>
      </w:pPr>
      <w:r>
        <w:t xml:space="preserve">4.2 Educational Enhancement</w:t>
      </w:r>
    </w:p>
    <w:p>
      <w:pPr>
        <w:pStyle w:val="FirstParagraph"/>
      </w:pPr>
      <w:r>
        <w:t xml:space="preserve">The Pharm.D. curriculum in Iran needs to emphasize soft skills alongside clinical knowledge. Communication strategies tailored to the cultural context of Tehran are essential. Furthermore, continuing education programs must be mandated and incentivized, ensuring that Pharmacists remain up-to-date with international guidelines for managing NCDs.</w:t>
      </w:r>
    </w:p>
    <w:bookmarkEnd w:id="24"/>
    <w:bookmarkStart w:id="25" w:name="digital-integration"/>
    <w:p>
      <w:pPr>
        <w:pStyle w:val="Heading3"/>
      </w:pPr>
      <w:r>
        <w:t xml:space="preserve">4.3 Digital Integration</w:t>
      </w:r>
    </w:p>
    <w:p>
      <w:pPr>
        <w:pStyle w:val="FirstParagraph"/>
      </w:pPr>
      <w:r>
        <w:t xml:space="preserve">Tehran has a high rate of internet penetration and smartphone usage. Leveraging this, the Iranian health system could implement a unified digital platform that allows Pharmacists to access patients' electronic medical records (EMRs) securely. This would enable real-time interaction with physicians, reducing prescription errors and improving continuity of care. Such a system would be particularly effective in Tehran’s large hospital complexes where patient handovers are frequent.</w:t>
      </w:r>
    </w:p>
    <w:bookmarkEnd w:id="25"/>
    <w:bookmarkEnd w:id="26"/>
    <w:bookmarkStart w:id="27" w:name="X15de25a47d0947216c3c1159f11289d48d5e818"/>
    <w:p>
      <w:pPr>
        <w:pStyle w:val="Heading2"/>
      </w:pPr>
      <w:r>
        <w:t xml:space="preserve">5. Case Study: Community-Based Chronic Disease Management</w:t>
      </w:r>
    </w:p>
    <w:p>
      <w:pPr>
        <w:pStyle w:val="FirstParagraph"/>
      </w:pPr>
      <w:r>
        <w:t xml:space="preserve">A hypothetical model for Tehran involves the establishment of "Pharmacist-Led Clinics" within community pharmacies. In these settings, Pharmacists would manage stable chronic conditions, such as uncomplicated hypertension and type 2 diabetes, following clinical guidelines approved by the MOHME. By taking over routine monitoring and dosage adjustments from primary care physicians, this model would free up physician resources for more complex cases.</w:t>
      </w:r>
    </w:p>
    <w:p>
      <w:pPr>
        <w:pStyle w:val="BodyText"/>
      </w:pPr>
      <w:r>
        <w:t xml:space="preserve">Early adoption of similar models in select districts of Tehran could demonstrate cost-effectiveness through reduced hospital readmissions and improved patient satisfaction. Data collection from such pilots would provide the empirical evidence needed for national scaling across Iran.</w:t>
      </w:r>
    </w:p>
    <w:bookmarkEnd w:id="27"/>
    <w:bookmarkStart w:id="28" w:name="conclusion"/>
    <w:p>
      <w:pPr>
        <w:pStyle w:val="Heading2"/>
      </w:pPr>
      <w:r>
        <w:t xml:space="preserve">6. Conclusion</w:t>
      </w:r>
    </w:p>
    <w:p>
      <w:pPr>
        <w:pStyle w:val="FirstParagraph"/>
      </w:pPr>
      <w:r>
        <w:t xml:space="preserve">The evolution of the Pharmacist’s role is imperative for sustaining a resilient healthcare system in Iran. In Tehran, where healthcare demands are intense and diverse, Pharmacists must transition from passive dispensers to active clinical partners. By addressing legislative barriers, enhancing education, and utilizing digital technologies, Iran can empower its Pharmacists to improve public health outcomes.</w:t>
      </w:r>
    </w:p>
    <w:p>
      <w:pPr>
        <w:pStyle w:val="BodyText"/>
      </w:pPr>
      <w:r>
        <w:t xml:space="preserve">This transformation will not only benefit patients in Tehran but also serve as a model for other regions within Iran and the broader Middle East. The investment in the Pharmacist profession is, ultimately, an investment in the health security and well-being of the Iranian population.</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Iranian Ministry of Health and Medical Education. (2023).</w:t>
      </w:r>
      <w:r>
        <w:t xml:space="preserve"> </w:t>
      </w:r>
      <w:r>
        <w:rPr>
          <w:bCs/>
          <w:b/>
        </w:rPr>
        <w:t xml:space="preserve">National Healthcare Transformation Plan</w:t>
      </w:r>
      <w:r>
        <w:t xml:space="preserve">. Tehran: MOHME Publishing.</w:t>
      </w:r>
    </w:p>
    <w:p>
      <w:pPr>
        <w:numPr>
          <w:ilvl w:val="0"/>
          <w:numId w:val="1001"/>
        </w:numPr>
        <w:pStyle w:val="Compact"/>
      </w:pPr>
      <w:r>
        <w:t xml:space="preserve">Rezapour, A., et al. (2021). "The Role of Clinical Pharmacists in Managing Non-Communicable Diseases in Iran."</w:t>
      </w:r>
      <w:r>
        <w:t xml:space="preserve"> </w:t>
      </w:r>
      <w:r>
        <w:rPr>
          <w:iCs/>
          <w:i/>
        </w:rPr>
        <w:t xml:space="preserve">Journal of Research in Medical Sciences</w:t>
      </w:r>
      <w:r>
        <w:t xml:space="preserve">, 26(4), 112-119.</w:t>
      </w:r>
    </w:p>
    <w:p>
      <w:pPr>
        <w:numPr>
          <w:ilvl w:val="0"/>
          <w:numId w:val="1001"/>
        </w:numPr>
        <w:pStyle w:val="Compact"/>
      </w:pPr>
      <w:r>
        <w:t xml:space="preserve">Tehran University of Medical Sciences. (2022).</w:t>
      </w:r>
      <w:r>
        <w:t xml:space="preserve"> </w:t>
      </w:r>
      <w:r>
        <w:rPr>
          <w:bCs/>
          <w:b/>
        </w:rPr>
        <w:t xml:space="preserve">Status Report on Pharmaceutical Education and Practice</w:t>
      </w:r>
      <w:r>
        <w:t xml:space="preserve">. Tehran: TUMS Press.</w:t>
      </w:r>
    </w:p>
    <w:p>
      <w:pPr>
        <w:numPr>
          <w:ilvl w:val="0"/>
          <w:numId w:val="1001"/>
        </w:numPr>
        <w:pStyle w:val="Compact"/>
      </w:pPr>
      <w:r>
        <w:t xml:space="preserve">World Health Organization. (2023). "</w:t>
      </w:r>
      <w:r>
        <w:rPr>
          <w:iCs/>
          <w:i/>
        </w:rPr>
        <w:t xml:space="preserve">The State of the World’s Nursing 2023</w:t>
      </w:r>
      <w:r>
        <w:t xml:space="preserve">: Investing in Education, Employment and Policy." Geneva: WHO Regional Office for Eastern Mediterranean.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Iran: Strategic Integration into Primary Healthcare Systems in Tehran</dc:title>
  <dc:creator/>
  <dc:language>en</dc:language>
  <cp:keywords/>
  <dcterms:created xsi:type="dcterms:W3CDTF">2026-07-29T10:32:45Z</dcterms:created>
  <dcterms:modified xsi:type="dcterms:W3CDTF">2026-07-29T10:32:45Z</dcterms:modified>
</cp:coreProperties>
</file>

<file path=docProps/custom.xml><?xml version="1.0" encoding="utf-8"?>
<Properties xmlns="http://schemas.openxmlformats.org/officeDocument/2006/custom-properties" xmlns:vt="http://schemas.openxmlformats.org/officeDocument/2006/docPropsVTypes"/>
</file>