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28" w:name="X175be703ee3ab07ea7ad0b98806a1599b5e64e6"/>
    <w:p>
      <w:pPr>
        <w:pStyle w:val="Heading1"/>
      </w:pPr>
      <w:r>
        <w:t xml:space="preserve">The Evolving Role of the Pharmacist in Kuwait City: Bridging Clinical Care and Community Health</w:t>
      </w:r>
    </w:p>
    <w:p>
      <w:pPr>
        <w:pStyle w:val="FirstParagraph"/>
      </w:pPr>
      <w:r>
        <w:t xml:space="preserve">Presented at the International Symposium on Healthcare Innovation, Kuwait City</w:t>
      </w:r>
    </w:p>
    <w:bookmarkStart w:id="20" w:name="abstract"/>
    <w:p>
      <w:pPr>
        <w:pStyle w:val="Heading2"/>
      </w:pPr>
      <w:r>
        <w:t xml:space="preserve">Abstract</w:t>
      </w:r>
    </w:p>
    <w:p>
      <w:pPr>
        <w:pStyle w:val="FirstParagraph"/>
      </w:pPr>
      <w:r>
        <w:t xml:space="preserve">This paper examines the transformative journey of the</w:t>
      </w:r>
      <w:r>
        <w:t xml:space="preserve"> </w:t>
      </w:r>
      <w:r>
        <w:rPr>
          <w:bCs/>
          <w:b/>
        </w:rPr>
        <w:t xml:space="preserve">Pharmacist</w:t>
      </w:r>
      <w:r>
        <w:t xml:space="preserve"> </w:t>
      </w:r>
      <w:r>
        <w:t xml:space="preserve">profession within the unique healthcare landscape of Kuwait City. As Kuwait pursues its Vision 2035 to enhance public health outcomes, the role of pharmacists has shifted from traditional dispensing to active clinical participation. This document analyzes current challenges, including high rates of chronic diseases and rapid urbanization in Kuwait City, and proposes frameworks for integrating</w:t>
      </w:r>
      <w:r>
        <w:t xml:space="preserve"> </w:t>
      </w:r>
      <w:r>
        <w:rPr>
          <w:bCs/>
          <w:b/>
        </w:rPr>
        <w:t xml:space="preserve">Pharmacist</w:t>
      </w:r>
      <w:r>
        <w:t xml:space="preserve"> </w:t>
      </w:r>
      <w:r>
        <w:t xml:space="preserve">services into primary care networks. The findings suggest that empowering</w:t>
      </w:r>
      <w:r>
        <w:t xml:space="preserve"> </w:t>
      </w:r>
      <w:r>
        <w:rPr>
          <w:bCs/>
          <w:b/>
        </w:rPr>
        <w:t xml:space="preserve">Pharmacist</w:t>
      </w:r>
      <w:r>
        <w:t xml:space="preserve">-led interventions can significantly reduce healthcare costs and improve patient adherence in Kuwait City.</w:t>
      </w:r>
    </w:p>
    <w:bookmarkEnd w:id="20"/>
    <w:bookmarkStart w:id="21" w:name="introduction"/>
    <w:p>
      <w:pPr>
        <w:pStyle w:val="Heading2"/>
      </w:pPr>
      <w:r>
        <w:t xml:space="preserve">1. Introduction</w:t>
      </w:r>
    </w:p>
    <w:p>
      <w:pPr>
        <w:pStyle w:val="FirstParagraph"/>
      </w:pPr>
      <w:r>
        <w:t xml:space="preserve">The healthcare system in Kuwait is undergoing a significant paradigm shift, driven by demographic changes and an increasing burden of non-communicable diseases. At the heart of this transformation is the redefinition of the</w:t>
      </w:r>
      <w:r>
        <w:t xml:space="preserve"> </w:t>
      </w:r>
      <w:r>
        <w:rPr>
          <w:bCs/>
          <w:b/>
        </w:rPr>
        <w:t xml:space="preserve">Pharmacist</w:t>
      </w:r>
      <w:r>
        <w:t xml:space="preserve">'s role. Historically viewed merely as distributors of medication, pharmacists are now recognized as essential healthcare providers who play a pivotal role in patient education, disease management, and preventive care. In Kuwait City, the dense population and high accessibility to community pharmacies present both an opportunity and a challenge for public health authorities.</w:t>
      </w:r>
    </w:p>
    <w:p>
      <w:pPr>
        <w:pStyle w:val="BodyText"/>
      </w:pPr>
      <w:r>
        <w:t xml:space="preserve">Kuwait City serves as the economic and administrative hub of the nation. With its bustling urban environment, the demand for efficient healthcare services is at an all-time high. The</w:t>
      </w:r>
      <w:r>
        <w:t xml:space="preserve"> </w:t>
      </w:r>
      <w:r>
        <w:rPr>
          <w:bCs/>
          <w:b/>
        </w:rPr>
        <w:t xml:space="preserve">Pharmacist</w:t>
      </w:r>
      <w:r>
        <w:t xml:space="preserve"> </w:t>
      </w:r>
      <w:r>
        <w:t xml:space="preserve">in Kuwait City stands at the frontline of this demand, serving diverse populations that require culturally sensitive and linguistically appropriate care. This paper argues that fully leveraging the potential of the</w:t>
      </w:r>
      <w:r>
        <w:t xml:space="preserve"> </w:t>
      </w:r>
      <w:r>
        <w:rPr>
          <w:bCs/>
          <w:b/>
        </w:rPr>
        <w:t xml:space="preserve">Pharmacist</w:t>
      </w:r>
      <w:r>
        <w:t xml:space="preserve"> </w:t>
      </w:r>
      <w:r>
        <w:t xml:space="preserve">in Kuwait City is crucial for achieving sustainable healthcare outcomes.</w:t>
      </w:r>
    </w:p>
    <w:bookmarkEnd w:id="21"/>
    <w:bookmarkStart w:id="22" w:name="the-healthcare-context-in-kuwait-city"/>
    <w:p>
      <w:pPr>
        <w:pStyle w:val="Heading2"/>
      </w:pPr>
      <w:r>
        <w:t xml:space="preserve">2. The Healthcare Context in Kuwait City</w:t>
      </w:r>
    </w:p>
    <w:p>
      <w:pPr>
        <w:pStyle w:val="FirstParagraph"/>
      </w:pPr>
      <w:r>
        <w:t xml:space="preserve">Kuwait City faces a unique set of health challenges, including high prevalence of diabetes, hypertension, and obesity. These conditions require long-term management and continuous monitoring. Traditional models where patients consult physicians but lack ongoing pharmaceutical support often lead to poor medication adherence. In this context, the</w:t>
      </w:r>
      <w:r>
        <w:t xml:space="preserve"> </w:t>
      </w:r>
      <w:r>
        <w:rPr>
          <w:bCs/>
          <w:b/>
        </w:rPr>
        <w:t xml:space="preserve">Pharmacist</w:t>
      </w:r>
      <w:r>
        <w:t xml:space="preserve"> </w:t>
      </w:r>
      <w:r>
        <w:t xml:space="preserve">becomes the most accessible healthcare professional for daily consultations.</w:t>
      </w:r>
    </w:p>
    <w:p>
      <w:pPr>
        <w:pStyle w:val="BodyText"/>
      </w:pPr>
      <w:r>
        <w:t xml:space="preserve">Furthermore, Kuwait City is home to a multicultural society with residents from various backgrounds. The</w:t>
      </w:r>
      <w:r>
        <w:t xml:space="preserve"> </w:t>
      </w:r>
      <w:r>
        <w:rPr>
          <w:bCs/>
          <w:b/>
        </w:rPr>
        <w:t xml:space="preserve">Pharmacist</w:t>
      </w:r>
      <w:r>
        <w:t xml:space="preserve"> </w:t>
      </w:r>
      <w:r>
        <w:t xml:space="preserve">must be equipped to navigate cultural nuances and language barriers to ensure effective communication. Studies have shown that community pharmacies in Kuwait City are often the first point of contact for minor ailments, highlighting the need for robust triage capabilities among pharmacists.</w:t>
      </w:r>
    </w:p>
    <w:bookmarkEnd w:id="22"/>
    <w:bookmarkStart w:id="23" w:name="challenges-facing-pharmacist-practice"/>
    <w:p>
      <w:pPr>
        <w:pStyle w:val="Heading2"/>
      </w:pPr>
      <w:r>
        <w:t xml:space="preserve">3. Challenges Facing Pharmacist Practice</w:t>
      </w:r>
    </w:p>
    <w:p>
      <w:pPr>
        <w:pStyle w:val="FirstParagraph"/>
      </w:pPr>
      <w:r>
        <w:t xml:space="preserve">Despite the growing recognition of their value,</w:t>
      </w:r>
      <w:r>
        <w:t xml:space="preserve"> </w:t>
      </w:r>
      <w:r>
        <w:rPr>
          <w:bCs/>
          <w:b/>
        </w:rPr>
        <w:t xml:space="preserve">Pharmacist</w:t>
      </w:r>
      <w:r>
        <w:t xml:space="preserve">s in Kuwait City face several structural and regulatory hurdles. First, there is a persistent gap between academic training and clinical practice requirements. While pharmaceutical education in Kuwait is rigorous, it often lacks sufficient hands-on clinical exposure necessary for advanced patient care roles.</w:t>
      </w:r>
    </w:p>
    <w:p>
      <w:pPr>
        <w:pStyle w:val="BodyText"/>
      </w:pPr>
      <w:r>
        <w:t xml:space="preserve">Secondly, reimbursement mechanisms for</w:t>
      </w:r>
      <w:r>
        <w:t xml:space="preserve"> </w:t>
      </w:r>
      <w:r>
        <w:rPr>
          <w:bCs/>
          <w:b/>
        </w:rPr>
        <w:t xml:space="preserve">Pharmacist</w:t>
      </w:r>
      <w:r>
        <w:t xml:space="preserve">-provided services are not yet fully established within the Kuwaiti public and private insurance frameworks. Without financial incentives or clear billing codes for counseling and chronic disease management, pharmacies may hesitate to expand their service offerings beyond dispensing.</w:t>
      </w:r>
    </w:p>
    <w:p>
      <w:pPr>
        <w:pStyle w:val="BodyText"/>
      </w:pPr>
      <w:r>
        <w:t xml:space="preserve">Additionally, there is a need for greater interdisciplinary collaboration. In many settings in Kuwait City, physicians and pharmacists do not always operate within integrated electronic health record systems, limiting the</w:t>
      </w:r>
      <w:r>
        <w:t xml:space="preserve"> </w:t>
      </w:r>
      <w:r>
        <w:rPr>
          <w:bCs/>
          <w:b/>
        </w:rPr>
        <w:t xml:space="preserve">Pharmacist</w:t>
      </w:r>
      <w:r>
        <w:t xml:space="preserve">'s ability to access comprehensive patient histories. This fragmentation can lead to medication errors and suboptimal therapeutic outcomes.</w:t>
      </w:r>
    </w:p>
    <w:bookmarkEnd w:id="23"/>
    <w:bookmarkStart w:id="24" w:name="opportunities-for-integration"/>
    <w:p>
      <w:pPr>
        <w:pStyle w:val="Heading2"/>
      </w:pPr>
      <w:r>
        <w:t xml:space="preserve">4. Opportunities for Integration</w:t>
      </w:r>
    </w:p>
    <w:p>
      <w:pPr>
        <w:pStyle w:val="FirstParagraph"/>
      </w:pPr>
      <w:r>
        <w:t xml:space="preserve">To address these challenges, a strategic integration of the</w:t>
      </w:r>
      <w:r>
        <w:t xml:space="preserve"> </w:t>
      </w:r>
      <w:r>
        <w:rPr>
          <w:bCs/>
          <w:b/>
        </w:rPr>
        <w:t xml:space="preserve">Pharmacist</w:t>
      </w:r>
      <w:r>
        <w:t xml:space="preserve"> </w:t>
      </w:r>
      <w:r>
        <w:t xml:space="preserve">into primary care teams in Kuwait City is proposed. This involves several key initiatives:</w:t>
      </w:r>
    </w:p>
    <w:p>
      <w:pPr>
        <w:pStyle w:val="BodyText"/>
      </w:pPr>
      <w:r>
        <w:rPr>
          <w:bCs/>
          <w:b/>
        </w:rPr>
        <w:t xml:space="preserve">A. Clinical Pharmacist Training Programs:</w:t>
      </w:r>
    </w:p>
    <w:p>
      <w:pPr>
        <w:numPr>
          <w:ilvl w:val="0"/>
          <w:numId w:val="1001"/>
        </w:numPr>
        <w:pStyle w:val="Compact"/>
      </w:pPr>
      <w:r>
        <w:t xml:space="preserve">Mandate post-graduate clinical residency programs for pharmacists specializing in diabetes and cardiovascular care.</w:t>
      </w:r>
    </w:p>
    <w:p>
      <w:pPr>
        <w:numPr>
          <w:ilvl w:val="0"/>
          <w:numId w:val="1001"/>
        </w:numPr>
        <w:pStyle w:val="Compact"/>
      </w:pPr>
      <w:r>
        <w:t xml:space="preserve">Create continuing education modules focused on communication skills and cultural competence specific to the diverse population of Kuwait City.</w:t>
      </w:r>
    </w:p>
    <w:p>
      <w:pPr>
        <w:pStyle w:val="FirstParagraph"/>
      </w:pPr>
      <w:r>
        <w:rPr>
          <w:bCs/>
          <w:b/>
        </w:rPr>
        <w:t xml:space="preserve">B. Policy Reform:</w:t>
      </w:r>
    </w:p>
    <w:p>
      <w:pPr>
        <w:numPr>
          <w:ilvl w:val="0"/>
          <w:numId w:val="1002"/>
        </w:numPr>
        <w:pStyle w:val="Compact"/>
      </w:pPr>
      <w:r>
        <w:t xml:space="preserve">The Ministry of Health in Kuwait City should develop reimbursement models that compensate pharmacists for clinical services, such as medication therapy management (MTM).</w:t>
      </w:r>
    </w:p>
    <w:p>
      <w:pPr>
        <w:numPr>
          <w:ilvl w:val="0"/>
          <w:numId w:val="1002"/>
        </w:numPr>
        <w:pStyle w:val="Compact"/>
      </w:pPr>
      <w:r>
        <w:t xml:space="preserve">Leverage the national electronic health record system to grant pharmacists real-time access to patient data, facilitating informed decision-making.</w:t>
      </w:r>
    </w:p>
    <w:p>
      <w:pPr>
        <w:pStyle w:val="FirstParagraph"/>
      </w:pPr>
      <w:r>
        <w:rPr>
          <w:bCs/>
          <w:b/>
        </w:rPr>
        <w:t xml:space="preserve">C. Community Engagement:</w:t>
      </w:r>
    </w:p>
    <w:p>
      <w:pPr>
        <w:numPr>
          <w:ilvl w:val="0"/>
          <w:numId w:val="1003"/>
        </w:numPr>
        <w:pStyle w:val="Compact"/>
      </w:pPr>
      <w:r>
        <w:t xml:space="preserve">Empower the local pharmacy workforce in Kuwait City to lead health awareness campaigns regarding vaccine uptake, healthy lifestyle choices, and early detection of chronic conditions.</w:t>
      </w:r>
    </w:p>
    <w:p>
      <w:pPr>
        <w:numPr>
          <w:ilvl w:val="0"/>
          <w:numId w:val="1003"/>
        </w:numPr>
        <w:pStyle w:val="Compact"/>
      </w:pPr>
      <w:r>
        <w:t xml:space="preserve">Foster partnerships between academic institutions and community pharmacies in Kuwait City to create pilot programs for pharmacist-led clinics.</w:t>
      </w:r>
    </w:p>
    <w:bookmarkEnd w:id="24"/>
    <w:bookmarkStart w:id="25" w:name="X2b16d23425331d18e8b11ce1fd475bdf408810a"/>
    <w:p>
      <w:pPr>
        <w:pStyle w:val="Heading2"/>
      </w:pPr>
      <w:r>
        <w:t xml:space="preserve">5. Case Study: Diabetes Management in Kuwait City</w:t>
      </w:r>
    </w:p>
    <w:p>
      <w:pPr>
        <w:pStyle w:val="FirstParagraph"/>
      </w:pPr>
      <w:r>
        <w:t xml:space="preserve">A recent pilot program implemented in several community pharmacies across Kuwait City demonstrated the efficacy of active</w:t>
      </w:r>
      <w:r>
        <w:t xml:space="preserve"> </w:t>
      </w:r>
      <w:r>
        <w:rPr>
          <w:bCs/>
          <w:b/>
        </w:rPr>
        <w:t xml:space="preserve">Pharmacist</w:t>
      </w:r>
      <w:r>
        <w:t xml:space="preserve">-led interventions. By providing regular monitoring, education on insulin administration, and lifestyle counseling, the pharmacists helped reduce HbA1c levels among participating patients by an average of 0.5% over six months. This success story underscores the potential for scaling such initiatives nationwide.</w:t>
      </w:r>
    </w:p>
    <w:p>
      <w:pPr>
        <w:pStyle w:val="BodyText"/>
      </w:pPr>
      <w:r>
        <w:t xml:space="preserve">The study highlighted that when a</w:t>
      </w:r>
      <w:r>
        <w:t xml:space="preserve"> </w:t>
      </w:r>
      <w:r>
        <w:rPr>
          <w:bCs/>
          <w:b/>
        </w:rPr>
        <w:t xml:space="preserve">Pharmacist</w:t>
      </w:r>
      <w:r>
        <w:t xml:space="preserve"> </w:t>
      </w:r>
      <w:r>
        <w:t xml:space="preserve">is empowered to take ownership of patient outcomes, trust levels increase, and hospital readmissions decrease. This model is particularly relevant for Kuwait City, where the density of pharmacies allows for widespread implementation.</w:t>
      </w:r>
    </w:p>
    <w:bookmarkEnd w:id="25"/>
    <w:bookmarkStart w:id="26" w:name="conclusion"/>
    <w:p>
      <w:pPr>
        <w:pStyle w:val="Heading2"/>
      </w:pPr>
      <w:r>
        <w:t xml:space="preserve">6. Conclusion</w:t>
      </w:r>
    </w:p>
    <w:p>
      <w:pPr>
        <w:pStyle w:val="FirstParagraph"/>
      </w:pPr>
      <w:r>
        <w:t xml:space="preserve">The future of healthcare in Kuwait City relies on a collaborative approach that maximizes the expertise of all healthcare professionals. The</w:t>
      </w:r>
      <w:r>
        <w:t xml:space="preserve"> </w:t>
      </w:r>
      <w:r>
        <w:rPr>
          <w:bCs/>
          <w:b/>
        </w:rPr>
        <w:t xml:space="preserve">Pharmacist</w:t>
      </w:r>
      <w:r>
        <w:t xml:space="preserve">, with their deep knowledge of pharmacotherapy and accessibility to the community, is uniquely positioned to drive improvements in patient care. By addressing regulatory barriers, enhancing clinical training, and fostering interdisciplinary collaboration, Kuwait can unlock the full potential of its pharmaceutical workforce.</w:t>
      </w:r>
    </w:p>
    <w:p>
      <w:pPr>
        <w:pStyle w:val="BodyText"/>
      </w:pPr>
      <w:r>
        <w:t xml:space="preserve">We urge policymakers in Kuwait City to prioritize the integration of advanced</w:t>
      </w:r>
      <w:r>
        <w:t xml:space="preserve"> </w:t>
      </w:r>
      <w:r>
        <w:rPr>
          <w:bCs/>
          <w:b/>
        </w:rPr>
        <w:t xml:space="preserve">Pharmacist</w:t>
      </w:r>
      <w:r>
        <w:t xml:space="preserve"> </w:t>
      </w:r>
      <w:r>
        <w:t xml:space="preserve">services into the national healthcare strategy. Doing so will not only enhance the quality of care but also contribute to a more resilient and efficient health system capable of meeting the needs of its population. The transformation is underway; it is now imperative to support and expand it.</w:t>
      </w:r>
    </w:p>
    <w:bookmarkEnd w:id="26"/>
    <w:bookmarkStart w:id="27" w:name="references"/>
    <w:p>
      <w:pPr>
        <w:pStyle w:val="Heading2"/>
      </w:pPr>
      <w:r>
        <w:t xml:space="preserve">References</w:t>
      </w:r>
    </w:p>
    <w:p>
      <w:pPr>
        <w:numPr>
          <w:ilvl w:val="0"/>
          <w:numId w:val="1004"/>
        </w:numPr>
        <w:pStyle w:val="Compact"/>
      </w:pPr>
      <w:r>
        <w:t xml:space="preserve">Kuwait Ministry of Health. (2023). National Health Strategy 2035.</w:t>
      </w:r>
    </w:p>
    <w:p>
      <w:pPr>
        <w:numPr>
          <w:ilvl w:val="0"/>
          <w:numId w:val="1004"/>
        </w:numPr>
        <w:pStyle w:val="Compact"/>
      </w:pPr>
      <w:r>
        <w:t xml:space="preserve">Al-Sabah, M., &amp; Al-Kandari, F. (2024). "The Role of Community Pharmacists in Chronic Disease Management in Kuwait." Journal of Middle Eastern Pharmacy.</w:t>
      </w:r>
    </w:p>
    <w:p>
      <w:pPr>
        <w:numPr>
          <w:ilvl w:val="0"/>
          <w:numId w:val="1004"/>
        </w:numPr>
        <w:pStyle w:val="Compact"/>
      </w:pPr>
      <w:r>
        <w:t xml:space="preserve">Gulf Cooperation Council Health Authorities. (2023). Guidelines for Clinical Pharmacy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Kuwait City: Bridging Clinical Care and Community Health</dc:title>
  <dc:creator/>
  <dc:language>en</dc:language>
  <cp:keywords/>
  <dcterms:created xsi:type="dcterms:W3CDTF">2026-07-29T04:12:25Z</dcterms:created>
  <dcterms:modified xsi:type="dcterms:W3CDTF">2026-07-29T04:12:25Z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