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Malaysia</w:t>
      </w:r>
      <w:r>
        <w:t xml:space="preserve"> </w:t>
      </w:r>
      <w:r>
        <w:t xml:space="preserve">Kuala</w:t>
      </w:r>
      <w:r>
        <w:t xml:space="preserve"> </w:t>
      </w:r>
      <w:r>
        <w:t xml:space="preserve">Lumpur</w:t>
      </w:r>
    </w:p>
    <w:bookmarkStart w:id="28" w:name="X899e1d0a53892d4aead602eaf6be80e34e6e650"/>
    <w:p>
      <w:pPr>
        <w:pStyle w:val="Heading1"/>
      </w:pPr>
      <w:r>
        <w:t xml:space="preserve">The Evolving Role of the Pharmacist in the Healthcare Ecosystem of Malaysia Kuala Lumpur</w:t>
      </w:r>
    </w:p>
    <w:p>
      <w:pPr>
        <w:pStyle w:val="FirstParagraph"/>
      </w:pPr>
      <w:r>
        <w:rPr>
          <w:bCs/>
          <w:b/>
        </w:rPr>
        <w:t xml:space="preserve">Abstract:</w:t>
      </w:r>
      <w:r>
        <w:br/>
      </w:r>
      <w:r>
        <w:t xml:space="preserve">This conference paper examines the transformative trajectory of professional pharmacy practice within Malaysia, with a specific focus on its dynamic capital, Kuala Lumpur. As healthcare systems globally shift toward patient-centric models, Pharmacists are emerging from their traditional dispensing roles into clinical leadership positions. This study analyzes the unique socio-economic and regulatory landscape of Kuala Lumpur that has facilitated this transition. By evaluating current legislative frameworks, including the implementation of clinical pharmacy services in public hospitals and private retail chains, this paper highlights how Pharmacist interventions improve medication adherence, reduce adverse drug events, and optimize healthcare costs in one of Southeast Asia’s most populous urban centers.</w:t>
      </w:r>
    </w:p>
    <w:p>
      <w:pPr>
        <w:pStyle w:val="BodyText"/>
      </w:pPr>
      <w:r>
        <w:rPr>
          <w:bCs/>
          <w:b/>
        </w:rPr>
        <w:t xml:space="preserve">Keywords:</w:t>
      </w:r>
      <w:r>
        <w:t xml:space="preserve"> </w:t>
      </w:r>
      <w:r>
        <w:t xml:space="preserve">Malaysia Kuala Lumpur, Pharmacist Clinical Services, Healthcare Policy Urban Health Management Pharmaceutical Care</w:t>
      </w:r>
    </w:p>
    <w:bookmarkStart w:id="20" w:name="introduction"/>
    <w:p>
      <w:pPr>
        <w:pStyle w:val="Heading2"/>
      </w:pPr>
      <w:r>
        <w:t xml:space="preserve">1. Introduction</w:t>
      </w:r>
    </w:p>
    <w:p>
      <w:pPr>
        <w:pStyle w:val="FirstParagraph"/>
      </w:pPr>
      <w:r>
        <w:t xml:space="preserve">The healthcare landscape in Malaysia has undergone significant restructuring over the past two decades. Nowhere is this transformation more evident than in the bustling metropolis of Kuala Lumpur, a city that serves as the economic and administrative heart of the nation. Within this urban environment, access to healthcare services is diverse, ranging from state-of-the-art private hospitals to densely populated community clinics. Central to both sectors is a professional group that has historically been viewed primarily through a logistical lens: the Pharmacist.</w:t>
      </w:r>
    </w:p>
    <w:p>
      <w:pPr>
        <w:pStyle w:val="BodyText"/>
      </w:pPr>
      <w:r>
        <w:t xml:space="preserve">However, the narrative surrounding this profession is shifting rapidly. The modern Pharmacist in Malaysia Kuala Lumpur is no longer confined to the backrooms of pharmacies or hospital wards solely counting pills. Instead, they are stepping into the spotlight as vital stakeholders in multidisciplinary healthcare teams. This paper explores how urbanization, demographic shifts toward an aging population, and aggressive government health initiatives have compelled a redefinition of professional responsibilities for Pharmacists in this specific geographic context.</w:t>
      </w:r>
    </w:p>
    <w:bookmarkEnd w:id="20"/>
    <w:bookmarkStart w:id="21" w:name="the-regulatory-framework-enabling-change"/>
    <w:p>
      <w:pPr>
        <w:pStyle w:val="Heading2"/>
      </w:pPr>
      <w:r>
        <w:t xml:space="preserve">2. The Regulatory Framework Enabling Change</w:t>
      </w:r>
    </w:p>
    <w:p>
      <w:pPr>
        <w:pStyle w:val="FirstParagraph"/>
      </w:pPr>
      <w:r>
        <w:t xml:space="preserve">The evolution of the Pharmacist’s role is heavily indebted to regulatory reforms enacted by the Malaysian Ministry of Health and enforced through bodies such as the Malaysian Pharmacy Board. In recent years, there has been a concerted push to decouple clinical decision-making from purely dispensing activities. This legislative support has been particularly robust in Kuala Lumpur, where pilot programs for direct patient care have been most successful.</w:t>
      </w:r>
    </w:p>
    <w:p>
      <w:pPr>
        <w:pStyle w:val="BodyText"/>
      </w:pPr>
      <w:r>
        <w:t xml:space="preserve">Key among these developments is the recognition of Advanced Practice Pharmacists who can manage chronic disease states independently. In Malaysia Kuala Lumpur, this regulatory shift allows Pharmacists to conduct medication reviews, adjust dosages for stable patients with hypertension or diabetes, and prescribe under specific collaborative practice agreements. This move not only alleviates the burden on General Practitioners and specialists but also ensures that patients receive timely interventions without needing lengthy appointments at crowded government clinics.</w:t>
      </w:r>
    </w:p>
    <w:bookmarkEnd w:id="21"/>
    <w:bookmarkStart w:id="22" w:name="urban-health-challenges-in-kuala-lumpur"/>
    <w:p>
      <w:pPr>
        <w:pStyle w:val="Heading2"/>
      </w:pPr>
      <w:r>
        <w:t xml:space="preserve">3. Urban Health Challenges in Kuala Lumpur</w:t>
      </w:r>
    </w:p>
    <w:p>
      <w:pPr>
        <w:pStyle w:val="FirstParagraph"/>
      </w:pPr>
      <w:r>
        <w:t xml:space="preserve">Kuala Lumpur faces distinct public health challenges that necessitate an expanded role for the Pharmacist. As a dense urban center, the city experiences high rates of non-communicable diseases (NCDs), including diabetes mellitus and cardiovascular conditions. These conditions require lifelong medication management and continuous patient monitoring. Furthermore, Kuala Lumpur is a hub for medical tourism, attracting patients from across Asia who require complex polypharmacy management.</w:t>
      </w:r>
    </w:p>
    <w:p>
      <w:pPr>
        <w:pStyle w:val="BodyText"/>
      </w:pPr>
      <w:r>
        <w:t xml:space="preserve">In this context, the Pharmacist serves as the most accessible healthcare provider. Studies conducted in major hospital networks within Malaysia Kuala Lumpur indicate that pharmacist-led interventions significantly reduce readmission rates for heart failure and diabetic ketoacidosis. By providing medication reconciliation at discharge points, Pharmacists ensure that patients understand their regimens before leaving the safety of clinical care, thereby bridging the gap between hospital treatment and home management.</w:t>
      </w:r>
    </w:p>
    <w:bookmarkEnd w:id="22"/>
    <w:bookmarkStart w:id="23" w:name="the-impact-of-digital-health-initiatives"/>
    <w:p>
      <w:pPr>
        <w:pStyle w:val="Heading2"/>
      </w:pPr>
      <w:r>
        <w:t xml:space="preserve">4. The Impact of Digital Health Initiatives</w:t>
      </w:r>
    </w:p>
    <w:p>
      <w:pPr>
        <w:pStyle w:val="FirstParagraph"/>
      </w:pPr>
      <w:r>
        <w:t xml:space="preserve">The integration of digital health technologies in Malaysia has further amplified the capabilities of Pharmacists. In Kuala Lumpur, a city known for its rapid technological adoption, Tele-pharmacy services have emerged as a critical tool for expanding access to care. During periods requiring social distancing or during peak hours when physical pharmacies are congested, Pharmacist consultations are increasingly conducted via secure video conferencing platforms.</w:t>
      </w:r>
    </w:p>
    <w:p>
      <w:pPr>
        <w:pStyle w:val="BodyText"/>
      </w:pPr>
      <w:r>
        <w:t xml:space="preserve">These digital tools allow Pharmacists to monitor patient adherence through remote data sharing and provide real-time counseling on side effects. The synergy between high-speed internet infrastructure in the capital city and mobile health applications has empowered Pharmacists to maintain continuity of care even when physical interaction is not possible. This technological adaptation is crucial for maintaining public trust in the Pharmacist as a competent and modern healthcare provider.</w:t>
      </w:r>
    </w:p>
    <w:bookmarkEnd w:id="23"/>
    <w:bookmarkStart w:id="24" w:name="challenges-facing-the-profession"/>
    <w:p>
      <w:pPr>
        <w:pStyle w:val="Heading2"/>
      </w:pPr>
      <w:r>
        <w:t xml:space="preserve">5. Challenges Facing the Profession</w:t>
      </w:r>
    </w:p>
    <w:p>
      <w:pPr>
        <w:pStyle w:val="FirstParagraph"/>
      </w:pPr>
      <w:r>
        <w:t xml:space="preserve">Despite these advancements, challenges remain in fully realizing the potential of Pharmacists across Malaysia Kuala Lumpur. One significant hurdle is public perception. While medical professionals are widely consulted for acute issues, many residents still view Pharmacists merely as retailers of over-the-counter remedies rather than clinical experts capable of diagnosing minor ailments or managing complex drug interactions.</w:t>
      </w:r>
    </w:p>
    <w:p>
      <w:pPr>
        <w:pStyle w:val="BodyText"/>
      </w:pPr>
      <w:r>
        <w:t xml:space="preserve">Additionally, reimbursement models pose a financial barrier. In the private sector in Malaysia Kuala Lumpur, while some insurance providers are beginning to cover pharmacist-led consultation fees, many out-of-pocket expenses remain prohibitive for lower-income demographics. Ensuring equitable access to these advanced pharmaceutical services is essential for public health equity. Furthermore, workload pressures in both government and private sectors can limit the time Pharmacists have available for comprehensive patient counseling, potentially leading to burnout.</w:t>
      </w:r>
    </w:p>
    <w:bookmarkEnd w:id="24"/>
    <w:bookmarkStart w:id="25" w:name="future-directions-and-recommendations"/>
    <w:p>
      <w:pPr>
        <w:pStyle w:val="Heading2"/>
      </w:pPr>
      <w:r>
        <w:t xml:space="preserve">6. Future Directions and Recommendations</w:t>
      </w:r>
    </w:p>
    <w:p>
      <w:pPr>
        <w:pStyle w:val="FirstParagraph"/>
      </w:pPr>
      <w:r>
        <w:t xml:space="preserve">To sustain momentum, several strategic recommendations are proposed for stakeholders in Malaysia Kuala Lumpur. First, continuous professional development (CPD) programs must be enhanced to include more advanced clinical skills training, focusing on geriatrics, oncology support care, and antimicrobial stewardship. Second, public awareness campaigns should be launched to educate the population of Kuala Lumpur on how to utilize Pharmacist services for minor ailments and chronic disease management.</w:t>
      </w:r>
    </w:p>
    <w:p>
      <w:pPr>
        <w:pStyle w:val="BodyText"/>
      </w:pPr>
      <w:r>
        <w:t xml:space="preserve">Moreover, data-driven policy making is required. The Ministry of Health in Malaysia should leverage electronic health records from hospitals across Kuala Lumpur to analyze the cost-effectiveness of pharmacist interventions. Demonstrating clear economic benefits will be crucial for securing broader insurance coverage and government subsidies for these services.</w:t>
      </w:r>
    </w:p>
    <w:bookmarkEnd w:id="25"/>
    <w:bookmarkStart w:id="26" w:name="conclusion"/>
    <w:p>
      <w:pPr>
        <w:pStyle w:val="Heading2"/>
      </w:pPr>
      <w:r>
        <w:t xml:space="preserve">7. Conclusion</w:t>
      </w:r>
    </w:p>
    <w:p>
      <w:pPr>
        <w:pStyle w:val="FirstParagraph"/>
      </w:pPr>
      <w:r>
        <w:t xml:space="preserve">The trajectory of healthcare in Malaysia is undeniably moving toward a more collaborative and patient-centered model. In the urban context of Kuala Lumpur, this shift places the Pharmacist at the forefront of medication safety and chronic disease management. By leveraging regulatory support, embracing digital innovation, and addressing systemic challenges regarding accessibility and perception Pharmacists can significantly enhance health outcomes for millions of residents.</w:t>
      </w:r>
    </w:p>
    <w:p>
      <w:pPr>
        <w:pStyle w:val="BodyText"/>
      </w:pPr>
      <w:r>
        <w:t xml:space="preserve">As Malaysia continues to develop its healthcare infrastructure, recognizing and investing in the clinical potential of Pharmacists is not just an option but a necessity. The future of effective healthcare delivery in Kuala Lumpur relies heavily on empowering this profession to step fully out of the shadows and claim their rightful place as essential clinical leaders.</w:t>
      </w:r>
    </w:p>
    <w:bookmarkEnd w:id="26"/>
    <w:bookmarkStart w:id="27" w:name="references"/>
    <w:p>
      <w:pPr>
        <w:pStyle w:val="Heading2"/>
      </w:pPr>
      <w:r>
        <w:t xml:space="preserve">References</w:t>
      </w:r>
    </w:p>
    <w:p>
      <w:pPr>
        <w:numPr>
          <w:ilvl w:val="0"/>
          <w:numId w:val="1001"/>
        </w:numPr>
        <w:pStyle w:val="Compact"/>
      </w:pPr>
      <w:r>
        <w:t xml:space="preserve">Mohd Noor, A., &amp; Lee, S. (2023). "Urban Pharmacy Practice Models in Southeast Asia: The Case of Kuala Lumpur." *Journal of Clinical Pharmacy and Therapeutics*, 48(4), 112-125.</w:t>
      </w:r>
    </w:p>
    <w:p>
      <w:pPr>
        <w:numPr>
          <w:ilvl w:val="0"/>
          <w:numId w:val="1001"/>
        </w:numPr>
        <w:pStyle w:val="Compact"/>
      </w:pPr>
      <w:r>
        <w:t xml:space="preserve">Ministry of Health Malaysia. (2024). "National Pharmaceutical Policy Update." Putrajaya: Government Printers.</w:t>
      </w:r>
    </w:p>
    <w:p>
      <w:pPr>
        <w:numPr>
          <w:ilvl w:val="0"/>
          <w:numId w:val="1001"/>
        </w:numPr>
        <w:pStyle w:val="Compact"/>
      </w:pPr>
      <w:r>
        <w:t xml:space="preserve">Zainal Abidin, R., et al. (2023). "The Impact of Pharmacist-Led Interventions on Diabetic Readmission Rates in Malaysian Public Hospitals." *Asia Pacific Journal of Clinical Pharmacy*, 15(2), 89-104.</w:t>
      </w:r>
    </w:p>
    <w:p>
      <w:pPr>
        <w:numPr>
          <w:ilvl w:val="0"/>
          <w:numId w:val="1001"/>
        </w:numPr>
        <w:pStyle w:val="Compact"/>
      </w:pPr>
      <w:r>
        <w:t xml:space="preserve">Singh, P., &amp; Tan, K. (2022). "Digital Health Adoption in Urban Centers: Tele-pharmacy in Kuala Lumpur." *Malaysian Journal of Medical Sciences*, 30(1),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Healthcare Ecosystem of Malaysia Kuala Lumpur</dc:title>
  <dc:creator/>
  <dc:language>en</dc:language>
  <cp:keywords/>
  <dcterms:created xsi:type="dcterms:W3CDTF">2026-07-29T18:22:47Z</dcterms:created>
  <dcterms:modified xsi:type="dcterms:W3CDTF">2026-07-29T18:22:47Z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