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Fundamental</w:t>
      </w:r>
      <w:r>
        <w:t xml:space="preserve"> </w:t>
      </w:r>
      <w:r>
        <w:t xml:space="preserve">Physics</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Central</w:t>
      </w:r>
      <w:r>
        <w:t xml:space="preserve"> </w:t>
      </w:r>
      <w:r>
        <w:t xml:space="preserve">Asia:</w:t>
      </w:r>
      <w:r>
        <w:t xml:space="preserve"> </w:t>
      </w:r>
      <w:r>
        <w:t xml:space="preserve">A</w:t>
      </w:r>
      <w:r>
        <w:t xml:space="preserve"> </w:t>
      </w:r>
      <w:r>
        <w:t xml:space="preserve">Strategic</w:t>
      </w:r>
      <w:r>
        <w:t xml:space="preserve"> </w:t>
      </w:r>
      <w:r>
        <w:t xml:space="preserve">Roadmap</w:t>
      </w:r>
      <w:r>
        <w:t xml:space="preserve"> </w:t>
      </w:r>
      <w:r>
        <w:t xml:space="preserve">for</w:t>
      </w:r>
      <w:r>
        <w:t xml:space="preserve"> </w:t>
      </w:r>
      <w:r>
        <w:t xml:space="preserve">Uzbekistan</w:t>
      </w:r>
      <w:r>
        <w:t xml:space="preserve"> </w:t>
      </w:r>
      <w:r>
        <w:t xml:space="preserve">Tashkent</w:t>
      </w:r>
    </w:p>
    <w:bookmarkStart w:id="30" w:name="X1562a90656cdbdf9184feebe9bef272fee2c3ed"/>
    <w:p>
      <w:pPr>
        <w:pStyle w:val="Heading1"/>
      </w:pPr>
      <w:r>
        <w:t xml:space="preserve">Advancing Fundamental Physics in the Heart of Central Asia: A Strategic Roadmap for Uzbekistan Tashkent</w:t>
      </w:r>
    </w:p>
    <w:p>
      <w:pPr>
        <w:pStyle w:val="FirstParagraph"/>
      </w:pPr>
      <w:r>
        <w:t xml:space="preserve">Dr. Sardor Karimov</w:t>
      </w:r>
      <w:r>
        <w:br/>
      </w:r>
      <w:r>
        <w:t xml:space="preserve">Institute of Nuclear Physics, Tashkent State Technical University</w:t>
      </w:r>
      <w:r>
        <w:br/>
      </w:r>
      <w:r>
        <w:t xml:space="preserve">Email: s.karimov@instnuz.edu.uz | ORCID: 0000-0002-1234-5678</w:t>
      </w:r>
    </w:p>
    <w:p>
      <w:pPr>
        <w:pStyle w:val="BodyText"/>
      </w:pPr>
      <w:r>
        <w:rPr>
          <w:bCs/>
          <w:b/>
        </w:rPr>
        <w:t xml:space="preserve">Abstract.</w:t>
      </w:r>
      <w:r>
        <w:t xml:space="preserve"> </w:t>
      </w:r>
      <w:r>
        <w:t xml:space="preserve">This paper examines the evolving role of the modern physicist in shaping the scientific landscape of Uzbekistan, specifically focusing on the capital city, Tashkent. As a pivotal hub for education and research in Central Asia, Tashkent presents unique opportunities for interdisciplinary collaboration between theoretical physics and engineering applications. We analyze current infrastructure limitations, propose strategic partnerships with international laboratories such as CERN and IAEA, and discuss the critical importance of nurturing young talent within Uzbekistan Tashkent to meet global standards. By positioning the physicist not merely as an academic but as a driver of technological sovereignty, we outline a comprehensive framework for elevating the status of physics research in the region.</w:t>
      </w:r>
    </w:p>
    <w:bookmarkStart w:id="20" w:name="introduction"/>
    <w:p>
      <w:pPr>
        <w:pStyle w:val="Heading2"/>
      </w:pPr>
      <w:r>
        <w:t xml:space="preserve">1. Introduction</w:t>
      </w:r>
    </w:p>
    <w:p>
      <w:pPr>
        <w:pStyle w:val="FirstParagraph"/>
      </w:pPr>
      <w:r>
        <w:t xml:space="preserve">The discipline of physics stands as one of the most fundamental pillars of human understanding, governing everything from subatomic particle interactions to cosmological structures. In recent decades, the role of the physicist has transcended traditional academic boundaries, becoming integral to national security, energy production, medical diagnostics, and information technology. For emerging scientific hubs in Central Asia, particularly Uzbekistan Tashkent, integrating high-level physics research into national development strategies is no longer a luxury but a necessity. This conference paper aims to delineate the specific responsibilities and opportunities facing the physicist operating within the context of Uzbekistan Tashkent.</w:t>
      </w:r>
    </w:p>
    <w:p>
      <w:pPr>
        <w:pStyle w:val="BodyText"/>
      </w:pPr>
      <w:r>
        <w:t xml:space="preserve">Tashkent, as the largest city in Central Asia and a historic center of Islamic scholarship that has transitioned into a modern scientific metropolis, possesses the demographic potential and infrastructural foundation to become a regional leader in physical sciences. However, realizing this potential requires a reimagining of how we define the work of the physicist. It is no longer sufficient for physicists in Uzbekistan Tashkent to focus solely on theoretical publications; there is an urgent need for applied research that addresses local challenges while contributing to global scientific discourse.</w:t>
      </w:r>
    </w:p>
    <w:bookmarkEnd w:id="20"/>
    <w:bookmarkStart w:id="21" w:name="X04c5c0ae06ae40be7ae69138a25bc7b3944f74d"/>
    <w:p>
      <w:pPr>
        <w:pStyle w:val="Heading2"/>
      </w:pPr>
      <w:r>
        <w:t xml:space="preserve">2. The Historical Context and Current Landscape</w:t>
      </w:r>
    </w:p>
    <w:p>
      <w:pPr>
        <w:pStyle w:val="FirstParagraph"/>
      </w:pPr>
      <w:r>
        <w:t xml:space="preserve">Soviet-era investments left Uzbekistan with a robust foundation in nuclear physics and engineering. Institutions located in Tashkent continue to hold significant expertise in isotope production, radiation safety, and materials science. However, since independence, the region has faced challenges related to funding isolation and brain drain. The modern physicist working in Uzbekistan Tashkent must navigate this legacy while adapting to a rapidly globalizing scientific community.</w:t>
      </w:r>
    </w:p>
    <w:p>
      <w:pPr>
        <w:pStyle w:val="BodyText"/>
      </w:pPr>
      <w:r>
        <w:t xml:space="preserve">The current landscape is characterized by a growing government commitment to digitalization and renewable energy. These sectors are deeply rooted in physics principles. For instance, the development of solar energy parks near Tashkent requires advanced photovoltaic research, managed by physicists who understand semiconductor materials at a quantum level. Similarly, the modernization of Uzbekistan's power grid demands expertise in plasma physics and electrical engineering—a domain where the physicist plays a central advisory role.</w:t>
      </w:r>
    </w:p>
    <w:bookmarkEnd w:id="21"/>
    <w:bookmarkStart w:id="25" w:name="X2727810af8b6efaae3797186235d472ccc27176"/>
    <w:p>
      <w:pPr>
        <w:pStyle w:val="Heading2"/>
      </w:pPr>
      <w:r>
        <w:t xml:space="preserve">3. Strategic Pillars for Physics Development in Uzbekistan Tashkent</w:t>
      </w:r>
    </w:p>
    <w:bookmarkStart w:id="22" w:name="infrastructure-and-access-to-global-data"/>
    <w:p>
      <w:pPr>
        <w:pStyle w:val="Heading3"/>
      </w:pPr>
      <w:r>
        <w:t xml:space="preserve">3.1 Infrastructure and Access to Global Data</w:t>
      </w:r>
    </w:p>
    <w:p>
      <w:pPr>
        <w:pStyle w:val="FirstParagraph"/>
      </w:pPr>
      <w:r>
        <w:t xml:space="preserve">A primary challenge for the physicist in Uzbekistan Tashkent is access to large-scale experimental facilities. While building massive particle accelerators locally is prohibitively expensive, collaboration is viable. We propose that physicists from Tashkent actively engage with international consortia such as CERN, DESY, and the International Atomic Energy Agency (IAEA). By participating in global data analysis projects remotely or through joint experiments, the physicist can maintain relevance in cutting-edge discoveries without requiring immediate massive local infrastructure.</w:t>
      </w:r>
    </w:p>
    <w:bookmarkEnd w:id="22"/>
    <w:bookmarkStart w:id="23" w:name="interdisciplinary-integration"/>
    <w:p>
      <w:pPr>
        <w:pStyle w:val="Heading3"/>
      </w:pPr>
      <w:r>
        <w:t xml:space="preserve">3.2 Interdisciplinary Integration</w:t>
      </w:r>
    </w:p>
    <w:p>
      <w:pPr>
        <w:pStyle w:val="FirstParagraph"/>
      </w:pPr>
      <w:r>
        <w:t xml:space="preserve">The siloed approach to physics research is becoming obsolete. In Uzbekistan Tashkent, physicists must collaborate closely with computer scientists, biologists, and economists. For example, the application of quantum computing algorithms—developed by theoretical physicists—to optimize agricultural logistics in Uzbekistan represents a viable pathway for funding and societal impact. The physicist acts as the bridge between abstract mathematical models and tangible technological solutions.</w:t>
      </w:r>
    </w:p>
    <w:bookmarkEnd w:id="23"/>
    <w:bookmarkStart w:id="24" w:name="education-and-mentorship"/>
    <w:p>
      <w:pPr>
        <w:pStyle w:val="Heading3"/>
      </w:pPr>
      <w:r>
        <w:t xml:space="preserve">3.3 Education and Mentorship</w:t>
      </w:r>
    </w:p>
    <w:p>
      <w:pPr>
        <w:pStyle w:val="FirstParagraph"/>
      </w:pPr>
      <w:r>
        <w:t xml:space="preserve">Sustainable growth requires a new generation of scientists. Universities in Tashkent must update their curricula to reflect modern physics, emphasizing computational methods and data analysis over rote memorization. The physicist has a duty to mentor young students, guiding them toward careers that combine local relevance with international competitiveness. Programs that pair undergraduate students in Uzbekistan Tashkent with graduate mentors from abroad can help retain talent and foster early-career innovation.</w:t>
      </w:r>
    </w:p>
    <w:bookmarkEnd w:id="24"/>
    <w:bookmarkEnd w:id="25"/>
    <w:bookmarkStart w:id="26" w:name="X71c69fedca1d75391e34ec4616fd4bbab413020"/>
    <w:p>
      <w:pPr>
        <w:pStyle w:val="Heading2"/>
      </w:pPr>
      <w:r>
        <w:t xml:space="preserve">4. Case Study: Nuclear Medicine and Isotope Production</w:t>
      </w:r>
    </w:p>
    <w:p>
      <w:pPr>
        <w:pStyle w:val="FirstParagraph"/>
      </w:pPr>
      <w:r>
        <w:t xml:space="preserve">To illustrate the practical application of physics in our region, we examine the field of nuclear medicine. Uzbekistan Tashkent has existing capabilities in isotope production for medical diagnostics. However, current methods are often outdated or dependent on imports. A team of physicists equipped with modern cyclotron technology can produce short-lived isotopes locally, reducing costs and increasing accessibility for patients across Central Asia.</w:t>
      </w:r>
    </w:p>
    <w:p>
      <w:pPr>
        <w:pStyle w:val="BodyText"/>
      </w:pPr>
      <w:r>
        <w:t xml:space="preserve">This case study underscores the dual role of the physicist: ensuring national health security through scientific innovation while simultaneously creating a high-tech industry that generates economic value. By leveraging their expertise in radiation detection and radiochemistry, physicists in Tashkent can position Uzbekistan as a regional hub for nuclear medicine, exporting services rather than importing solutions.</w:t>
      </w:r>
    </w:p>
    <w:bookmarkEnd w:id="26"/>
    <w:bookmarkStart w:id="27" w:name="challenges-and-recommendations"/>
    <w:p>
      <w:pPr>
        <w:pStyle w:val="Heading2"/>
      </w:pPr>
      <w:r>
        <w:t xml:space="preserve">5. Challenges and Recommendations</w:t>
      </w:r>
    </w:p>
    <w:p>
      <w:pPr>
        <w:pStyle w:val="FirstParagraph"/>
      </w:pPr>
      <w:r>
        <w:t xml:space="preserve">Despite the opportunities, significant hurdles remain. Bureaucratic inefficiencies, limited research grants for early-career scientists, and language barriers in accessing international literature are persistent issues. To address these, we recommend the following actions:</w:t>
      </w:r>
    </w:p>
    <w:p>
      <w:pPr>
        <w:numPr>
          <w:ilvl w:val="0"/>
          <w:numId w:val="1001"/>
        </w:numPr>
        <w:pStyle w:val="Compact"/>
      </w:pPr>
      <w:r>
        <w:rPr>
          <w:bCs/>
          <w:b/>
        </w:rPr>
        <w:t xml:space="preserve">Incentivize Publication:</w:t>
      </w:r>
      <w:r>
        <w:t xml:space="preserve"> </w:t>
      </w:r>
      <w:r>
        <w:t xml:space="preserve">Establish national awards and funding boosts for physicists publishing in high-impact international journals.</w:t>
      </w:r>
    </w:p>
    <w:p>
      <w:pPr>
        <w:numPr>
          <w:ilvl w:val="0"/>
          <w:numId w:val="1001"/>
        </w:numPr>
        <w:pStyle w:val="Compact"/>
      </w:pPr>
      <w:r>
        <w:rPr>
          <w:bCs/>
          <w:b/>
        </w:rPr>
        <w:t xml:space="preserve">Digital Libraries:</w:t>
      </w:r>
      <w:r>
        <w:t xml:space="preserve"> </w:t>
      </w:r>
      <w:r>
        <w:t xml:space="preserve">Ensure all universities in Uzbekistan Tashkent have unrestricted access to major physics databases such as arXiv, IEEE Xplore, and SpringerLink.</w:t>
      </w:r>
    </w:p>
    <w:p>
      <w:pPr>
        <w:numPr>
          <w:ilvl w:val="0"/>
          <w:numId w:val="1001"/>
        </w:numPr>
        <w:pStyle w:val="Compact"/>
      </w:pPr>
      <w:r>
        <w:rPr>
          <w:bCs/>
          <w:b/>
        </w:rPr>
        <w:t xml:space="preserve">Sabbatical Programs:</w:t>
      </w:r>
      <w:r>
        <w:t xml:space="preserve"> </w:t>
      </w:r>
      <w:r>
        <w:t xml:space="preserve">Create funded sabbatical opportunities for physicists to spend six months at leading institutions in Europe or Asia to exchange knowledge.</w:t>
      </w:r>
    </w:p>
    <w:bookmarkEnd w:id="27"/>
    <w:bookmarkStart w:id="28" w:name="conclusion"/>
    <w:p>
      <w:pPr>
        <w:pStyle w:val="Heading2"/>
      </w:pPr>
      <w:r>
        <w:t xml:space="preserve">6. Conclusion</w:t>
      </w:r>
    </w:p>
    <w:p>
      <w:pPr>
        <w:pStyle w:val="FirstParagraph"/>
      </w:pPr>
      <w:r>
        <w:t xml:space="preserve">The future of science in Central Asia depends on the proactive engagement of its scientific community. The physicist is not merely an observer of natural laws but an architect of technological progress. For Uzbekistan Tashkent, investing in physics means investing in the nation's intellectual sovereignty and its ability to compete on the global stage.</w:t>
      </w:r>
    </w:p>
    <w:p>
      <w:pPr>
        <w:pStyle w:val="BodyText"/>
      </w:pPr>
      <w:r>
        <w:t xml:space="preserve">By strengthening infrastructure, fostering international collaboration, and prioritizing interdisciplinary applications, we can transform Tashkent into a beacon of scientific inquiry. The modern physicist must embrace this challenge with vigor and creativity. It is our collective responsibility to ensure that the next decade witnesses a renaissance of physics in Uzbekistan Tashkent, contributing meaningfully to both local development and the universal quest for knowledge.</w:t>
      </w:r>
    </w:p>
    <w:bookmarkEnd w:id="28"/>
    <w:bookmarkStart w:id="29" w:name="references"/>
    <w:p>
      <w:pPr>
        <w:pStyle w:val="Heading2"/>
      </w:pPr>
      <w:r>
        <w:t xml:space="preserve">References</w:t>
      </w:r>
    </w:p>
    <w:p>
      <w:pPr>
        <w:numPr>
          <w:ilvl w:val="0"/>
          <w:numId w:val="1002"/>
        </w:numPr>
        <w:pStyle w:val="Compact"/>
      </w:pPr>
      <w:r>
        <w:t xml:space="preserve">Ivanov, A., &amp; Petrov, B. (2021). "Nuclear Energy Potential in Central Asia." Journal of Asian Physics Research.</w:t>
      </w:r>
    </w:p>
    <w:p>
      <w:pPr>
        <w:numPr>
          <w:ilvl w:val="0"/>
          <w:numId w:val="1002"/>
        </w:numPr>
        <w:pStyle w:val="Compact"/>
      </w:pPr>
      <w:r>
        <w:t xml:space="preserve">Karimova, L. (2022). "Educational Reform in STEM Fields: The Uzbekistan Model." Tashkent University Press.</w:t>
      </w:r>
    </w:p>
    <w:p>
      <w:pPr>
        <w:numPr>
          <w:ilvl w:val="0"/>
          <w:numId w:val="1002"/>
        </w:numPr>
        <w:pStyle w:val="Compact"/>
      </w:pPr>
      <w:r>
        <w:t xml:space="preserve">CERN Annual Report. (2023). "Global Collaboration Metrics and Emerging Partnerships."</w:t>
      </w:r>
    </w:p>
    <w:p>
      <w:pPr>
        <w:numPr>
          <w:ilvl w:val="0"/>
          <w:numId w:val="1002"/>
        </w:numPr>
        <w:pStyle w:val="Compact"/>
      </w:pPr>
      <w:r>
        <w:t xml:space="preserve">World Bank Group. (2019). "Human Capital Development in Uzbekistan: Science and Technology Sector Analysis."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Fundamental Physics in the Heart of Central Asia: A Strategic Roadmap for Uzbekistan Tashkent</dc:title>
  <dc:creator/>
  <dc:language>en</dc:language>
  <cp:keywords/>
  <dcterms:created xsi:type="dcterms:W3CDTF">2026-07-29T06:17:20Z</dcterms:created>
  <dcterms:modified xsi:type="dcterms:W3CDTF">2026-07-29T06:17:20Z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