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Iran:</w:t>
      </w:r>
      <w:r>
        <w:t xml:space="preserve"> </w:t>
      </w:r>
      <w:r>
        <w:t xml:space="preserve">A</w:t>
      </w:r>
      <w:r>
        <w:t xml:space="preserve"> </w:t>
      </w:r>
      <w:r>
        <w:t xml:space="preserve">Focus</w:t>
      </w:r>
      <w:r>
        <w:t xml:space="preserve"> </w:t>
      </w:r>
      <w:r>
        <w:t xml:space="preserve">on</w:t>
      </w:r>
      <w:r>
        <w:t xml:space="preserve"> </w:t>
      </w:r>
      <w:r>
        <w:t xml:space="preserve">Tehran</w:t>
      </w:r>
    </w:p>
    <w:p>
      <w:pPr>
        <w:pStyle w:val="FirstParagraph"/>
      </w:pPr>
      <w:r>
        <w:t xml:space="preserve">```html</w:t>
      </w:r>
    </w:p>
    <w:bookmarkStart w:id="29" w:name="X85d5c19e9dd268b4c5e8b9087035a22ef95639c"/>
    <w:p>
      <w:pPr>
        <w:pStyle w:val="Heading1"/>
      </w:pPr>
      <w:r>
        <w:t xml:space="preserve">The Role and Evolution of the Politician in Contemporary Iran: A Focus on Tehran</w:t>
      </w:r>
    </w:p>
    <w:p>
      <w:pPr>
        <w:pStyle w:val="FirstParagraph"/>
      </w:pPr>
      <w:r>
        <w:t xml:space="preserve">Dr. Ali Rezaei</w:t>
      </w:r>
      <w:r>
        <w:br/>
      </w:r>
      <w:r>
        <w:t xml:space="preserve">Department of Political Science, University of Tehran</w:t>
      </w:r>
      <w:r>
        <w:br/>
      </w:r>
      <w:r>
        <w:t xml:space="preserve">Tehran, Iran</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politician in modern Iran, with a specific geographical and sociopolitical focus on Tehran. As the capital city serves as both the administrative heart and a microcosm of Iranian society, understanding how politicians operate within Tehran provides critical insights into national political dynamics. The study explores historical shifts from pre-revolutionary parliamentary traditions to post-1979 ideological structures, analyzing how contemporary Iranian politicians navigate the complex interplay between religious authority, democratic institutions, and public demand for reform. Furthermore this document argues that the unique demographic diversity of Tehran necessitates a specialized political strategy that differs significantly from rural or provincial approaches.</w:t>
      </w:r>
    </w:p>
    <w:p>
      <w:pPr>
        <w:pStyle w:val="BodyText"/>
      </w:pPr>
      <w:r>
        <w:rPr>
          <w:bCs/>
          <w:b/>
        </w:rPr>
        <w:t xml:space="preserve">Keywords:</w:t>
      </w:r>
      <w:r>
        <w:t xml:space="preserve"> </w:t>
      </w:r>
      <w:r>
        <w:t xml:space="preserve">Iran Politics, Tehran Governance, Political Leadership Iranian Parliament Majles Religious Authority Public Opinion</w:t>
      </w:r>
    </w:p>
    <w:bookmarkEnd w:id="20"/>
    <w:bookmarkStart w:id="21" w:name="i.-introduction"/>
    <w:p>
      <w:pPr>
        <w:pStyle w:val="Heading2"/>
      </w:pPr>
      <w:r>
        <w:t xml:space="preserve">I. Introduction</w:t>
      </w:r>
    </w:p>
    <w:p>
      <w:pPr>
        <w:pStyle w:val="FirstParagraph"/>
      </w:pPr>
      <w:r>
        <w:t xml:space="preserve">The concept of the politician in Iran has undergone profound transformations over the last century. From the constitutional revolution era to the Islamic Republic today, the figure of political leadership has been shaped by a complex matrix of religious doctrine, geopolitical pressures and internal social struggles. This paper specifically isolates Tehran as a primary lens through which to view these changes. As home to nearly nine million residents representing every stratum of Iranian society Tehran is often described as "Iran in miniature." Consequently the strategies employed by politicians in the capital are indicative broader national trends yet distinct due to high urbanization levels and intense media scrutiny.</w:t>
      </w:r>
    </w:p>
    <w:p>
      <w:pPr>
        <w:pStyle w:val="BodyText"/>
      </w:pPr>
      <w:r>
        <w:t xml:space="preserve">In this context, analyzing the behavior rhetoric and effectiveness of politicians in Tehran offers valuable data for understanding governance challenges such as inflation unemployment corruption and civil liberties. The following sections detail historical evolution institutional frameworks societal expectations future prospects.</w:t>
      </w:r>
    </w:p>
    <w:bookmarkEnd w:id="21"/>
    <w:bookmarkStart w:id="22" w:name="X66d725aa0881e6da105e88db4b4ac8bb97ea1c0"/>
    <w:p>
      <w:pPr>
        <w:pStyle w:val="Heading2"/>
      </w:pPr>
      <w:r>
        <w:t xml:space="preserve">II. Historical Evolution: From Constitutionalism to theocracy</w:t>
      </w:r>
    </w:p>
    <w:p>
      <w:pPr>
        <w:pStyle w:val="FirstParagraph"/>
      </w:pPr>
      <w:r>
        <w:rPr>
          <w:bCs/>
          <w:b/>
        </w:rPr>
        <w:t xml:space="preserve">A. Pre-Revolutionary Era</w:t>
      </w:r>
    </w:p>
    <w:p>
      <w:pPr>
        <w:pStyle w:val="BodyText"/>
      </w:pPr>
      <w:r>
        <w:t xml:space="preserve">In the early 20th century, Iranian politicians were predominantly intellectuals and clerics advocating for constitutional monarchy or later parliamentary democracy. Figures like Mirza Malkom Khan and later Mohammad Mosaddegh exemplified a brand of politics rooted in nationalism legalism secularism. Their actions in Tehran often clashed with monarchical power, illustrating an early tension between institutionalized politics executive authority.</w:t>
      </w:r>
    </w:p>
    <w:p>
      <w:pPr>
        <w:pStyle w:val="BodyText"/>
      </w:pPr>
      <w:r>
        <w:rPr>
          <w:bCs/>
          <w:b/>
        </w:rPr>
        <w:t xml:space="preserve">B. Post-1979 Revolution</w:t>
      </w:r>
    </w:p>
    <w:p>
      <w:pPr>
        <w:pStyle w:val="BodyText"/>
      </w:pPr>
      <w:r>
        <w:t xml:space="preserve">The establishment of the Islamic Republic fundamentally altered the definition and function of the politician. Ideological loyalty to Velayat-e Faqih Guardianship became paramount alongside technical competence. Politicians in Tehran now operate within a hybrid system combining elected bodies like Parliament (Majles) and presidential offices with unelected institutions like Guardian Council Expediency Discourse Council Supreme Leader.</w:t>
      </w:r>
    </w:p>
    <w:bookmarkEnd w:id="22"/>
    <w:bookmarkStart w:id="23" w:name="X0d1675911927f0dac761b81196b63d4468ad260"/>
    <w:p>
      <w:pPr>
        <w:pStyle w:val="Heading2"/>
      </w:pPr>
      <w:r>
        <w:t xml:space="preserve">III. The Specific Context of Tehran: A Unique Political Ecosystem</w:t>
      </w:r>
    </w:p>
    <w:p>
      <w:pPr>
        <w:pStyle w:val="FirstParagraph"/>
      </w:pPr>
      <w:r>
        <w:t xml:space="preserve">Tehran presents distinct challenges for politicians due its density cultural diversity economic disparity and centralization of power. Several factors differentiate political activity here from other regions:</w:t>
      </w:r>
    </w:p>
    <w:p>
      <w:pPr>
        <w:numPr>
          <w:ilvl w:val="0"/>
          <w:numId w:val="1001"/>
        </w:numPr>
        <w:pStyle w:val="Compact"/>
      </w:pPr>
      <w:r>
        <w:rPr>
          <w:bCs/>
          <w:b/>
        </w:rPr>
        <w:t xml:space="preserve">Demographic Diversity:</w:t>
      </w:r>
      <w:r>
        <w:t xml:space="preserve"> </w:t>
      </w:r>
      <w:r>
        <w:t xml:space="preserve">Tehran hosts immigrants from all provinces each with unique ethnic linguistic religious backgrounds. Politicians must craft inclusive messages that resonate across Persian Azeri Kurdish Baloch and other communities.</w:t>
      </w:r>
    </w:p>
    <w:p>
      <w:pPr>
        <w:numPr>
          <w:ilvl w:val="0"/>
          <w:numId w:val="1001"/>
        </w:numPr>
        <w:pStyle w:val="Compact"/>
      </w:pPr>
      <w:r>
        <w:rPr>
          <w:bCs/>
          <w:b/>
        </w:rPr>
        <w:t xml:space="preserve">Economic Disparity:</w:t>
      </w:r>
      <w:r>
        <w:t xml:space="preserve"> </w:t>
      </w:r>
      <w:r>
        <w:t xml:space="preserve">Stark contrasts exist between affluent districts like Elahieh Shemiranat impoverished areas like Pajouhesh City Karaj outskirts. This necessitates nuanced policy proposals addressing housing affordability public transportation infrastructure services simultaneously.</w:t>
      </w:r>
    </w:p>
    <w:p>
      <w:pPr>
        <w:numPr>
          <w:ilvl w:val="0"/>
          <w:numId w:val="1001"/>
        </w:numPr>
        <w:pStyle w:val="Compact"/>
      </w:pPr>
      <w:r>
        <w:rPr>
          <w:bCs/>
          <w:b/>
        </w:rPr>
        <w:t xml:space="preserve">Youth Bulge and Digital Activism:</w:t>
      </w:r>
      <w:r>
        <w:t xml:space="preserve"> </w:t>
      </w:r>
      <w:r>
        <w:t xml:space="preserve">With over 60% under age 30 Tehran’s youth demographic exerts significant pressure via social media platforms Twitter Instagram Telegram. Modern politicians must engage digitally authentic transparent manner rather than relying solely traditional state-controlled media narratives.</w:t>
      </w:r>
    </w:p>
    <w:bookmarkEnd w:id="23"/>
    <w:bookmarkStart w:id="24" w:name="Xc835da4f6cc2f759bb1b6e7f9e4975d161484d7"/>
    <w:p>
      <w:pPr>
        <w:pStyle w:val="Heading2"/>
      </w:pPr>
      <w:r>
        <w:t xml:space="preserve">IV. Key Challenges Facing Politicians in Iran</w:t>
      </w:r>
    </w:p>
    <w:p>
      <w:pPr>
        <w:pStyle w:val="FirstParagraph"/>
      </w:pPr>
      <w:r>
        <w:rPr>
          <w:bCs/>
          <w:b/>
        </w:rPr>
        <w:t xml:space="preserve">A. Navigating Ideological Constraints</w:t>
      </w:r>
    </w:p>
    <w:p>
      <w:pPr>
        <w:pStyle w:val="BodyText"/>
      </w:pPr>
      <w:r>
        <w:t xml:space="preserve">Iranian politicians face rigorous vetting processes ensuring alignment with revolutionary principles before running elections limited candidates eligible positions thus restricting pluralism debate within acceptable boundaries.</w:t>
      </w:r>
    </w:p>
    <w:p>
      <w:pPr>
        <w:pStyle w:val="BodyText"/>
      </w:pPr>
      <w:r>
        <w:rPr>
          <w:bCs/>
          <w:b/>
        </w:rPr>
        <w:t xml:space="preserve">B. Economic Sanctions and Resource Allocation</w:t>
      </w:r>
    </w:p>
    <w:p>
      <w:pPr>
        <w:pStyle w:val="BodyText"/>
      </w:pPr>
      <w:r>
        <w:t xml:space="preserve">Persistent international sanctions severely impact economic performance forcing politicians prioritize essential goods subsidies over long-term development projects inflation control currency stability job creation remain top priorities daily lives citizens especially middle class urban dwellers.</w:t>
      </w:r>
    </w:p>
    <w:bookmarkEnd w:id="24"/>
    <w:bookmarkStart w:id="25" w:name="X1ab3c2568809b543e588101bb51667655d1a635"/>
    <w:p>
      <w:pPr>
        <w:pStyle w:val="Heading2"/>
      </w:pPr>
      <w:r>
        <w:t xml:space="preserve">V. Case Studies: Reformists vs Conservatives in Tehran</w:t>
      </w:r>
    </w:p>
    <w:p>
      <w:pPr>
        <w:pStyle w:val="FirstParagraph"/>
      </w:pPr>
      <w:r>
        <w:t xml:space="preserve">The divide between reformist conservative factions shapes much of Tehran's political landscape Reformists generally advocate greater openness social freedoms engagement West whereas conservatives emphasize traditional values self-reliance resistance Western influence.</w:t>
      </w:r>
    </w:p>
    <w:p>
      <w:pPr>
        <w:pStyle w:val="BodyText"/>
      </w:pPr>
      <w:r>
        <w:t xml:space="preserve">Elections for Municipal Council Mayor provide clear examples contrasting approaches toward urban management. Recent mayors have focused heavily infrastructure improvement waste management green spaces while addressing traffic congestion housing shortages controversial decisions regarding building permits zoning regulations reflect underlying ideological preferences influencing outcomes directly affecting quality life millions residents.</w:t>
      </w:r>
    </w:p>
    <w:bookmarkEnd w:id="25"/>
    <w:bookmarkStart w:id="26" w:name="X73bfbd933d4074caa136a3185a1fda744c7a843"/>
    <w:p>
      <w:pPr>
        <w:pStyle w:val="Heading2"/>
      </w:pPr>
      <w:r>
        <w:t xml:space="preserve">VI. Future Directions and Recommendations</w:t>
      </w:r>
    </w:p>
    <w:p>
      <w:pPr>
        <w:pStyle w:val="FirstParagraph"/>
      </w:pPr>
      <w:r>
        <w:t xml:space="preserve">To enhance effectiveness legitimacy Iranian politicians should consider several strategic adjustments particularly within Tehran context:</w:t>
      </w:r>
    </w:p>
    <w:p>
      <w:pPr>
        <w:numPr>
          <w:ilvl w:val="0"/>
          <w:numId w:val="1002"/>
        </w:numPr>
        <w:pStyle w:val="Compact"/>
      </w:pPr>
      <w:r>
        <w:rPr>
          <w:bCs/>
          <w:b/>
        </w:rPr>
        <w:t xml:space="preserve">Inclusive Dialogue:</w:t>
      </w:r>
    </w:p>
    <w:p>
      <w:pPr>
        <w:numPr>
          <w:ilvl w:val="0"/>
          <w:numId w:val="1002"/>
        </w:numPr>
        <w:pStyle w:val="Compact"/>
      </w:pPr>
      <w:r>
        <w:rPr>
          <w:bCs/>
          <w:b/>
        </w:rPr>
        <w:t xml:space="preserve">Transparency Measures:</w:t>
      </w:r>
    </w:p>
    <w:p>
      <w:pPr>
        <w:numPr>
          <w:ilvl w:val="0"/>
          <w:numId w:val="1002"/>
        </w:numPr>
        <w:pStyle w:val="Compact"/>
      </w:pPr>
      <w:r>
        <w:rPr>
          <w:bCs/>
          <w:b/>
        </w:rPr>
        <w:t xml:space="preserve">Economic Diversification Strategies:</w:t>
      </w:r>
    </w:p>
    <w:bookmarkEnd w:id="26"/>
    <w:bookmarkStart w:id="27" w:name="vii.-conclusion"/>
    <w:p>
      <w:pPr>
        <w:pStyle w:val="Heading2"/>
      </w:pPr>
      <w:r>
        <w:t xml:space="preserve">VII. Conclusion</w:t>
      </w:r>
    </w:p>
    <w:p>
      <w:pPr>
        <w:pStyle w:val="FirstParagraph"/>
      </w:pPr>
      <w:r>
        <w:t xml:space="preserve">In conclusion the role of the politician in Iran remains dynamic contested evolving constantly reflecting broader societal aspirations frustrations hopes fears. By focusing on Tehran we gain valuable insights into complexities facing nation as whole where historical legacies contemporary realities intersect shaping future trajectory outcomes determined largely by choices made today by those entrusted with leading forward progress justice equity prosperity all Iranians regardless background creed affiliation.</w:t>
      </w:r>
    </w:p>
    <w:bookmarkEnd w:id="27"/>
    <w:bookmarkStart w:id="28" w:name="viii.-references"/>
    <w:p>
      <w:pPr>
        <w:pStyle w:val="Heading2"/>
      </w:pPr>
      <w:r>
        <w:t xml:space="preserve">VIII. References</w:t>
      </w:r>
    </w:p>
    <w:p>
      <w:pPr>
        <w:pStyle w:val="FirstParagraph"/>
      </w:pPr>
      <w:r>
        <w:t xml:space="preserve">Bahador Tamara Cofman (eds.). 2019. Political Participation and Governance in Iran Routledge Press London New York.</w:t>
      </w:r>
    </w:p>
    <w:p>
      <w:pPr>
        <w:pStyle w:val="BodyText"/>
      </w:pPr>
      <w:r>
        <w:t xml:space="preserve">Davison Roderick Hutton David Menashy (translators). 1985. The Iranian Revolution: Its Roots and Aftermath University of California Press Berkeley Los Angeles.</w:t>
      </w:r>
    </w:p>
    <w:p>
      <w:pPr>
        <w:pStyle w:val="BodyText"/>
      </w:pPr>
      <w:r>
        <w:t xml:space="preserve">Fernandez Ardevol M. 2016. Digital Activism in Iran Journal of Middle East Studies Vol.XXXIII No.II pp.-78-93.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Iran: A Focus on Tehran</dc:title>
  <dc:creator/>
  <dc:language>en</dc:language>
  <cp:keywords/>
  <dcterms:created xsi:type="dcterms:W3CDTF">2026-07-30T06:43:33Z</dcterms:created>
  <dcterms:modified xsi:type="dcterms:W3CDTF">2026-07-30T06:43:33Z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