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Japan:</w:t>
      </w:r>
      <w:r>
        <w:t xml:space="preserve"> </w:t>
      </w:r>
      <w:r>
        <w:t xml:space="preserve">Insights</w:t>
      </w:r>
      <w:r>
        <w:t xml:space="preserve"> </w:t>
      </w:r>
      <w:r>
        <w:t xml:space="preserve">from</w:t>
      </w:r>
      <w:r>
        <w:t xml:space="preserve"> </w:t>
      </w:r>
      <w:r>
        <w:t xml:space="preserve">a</w:t>
      </w:r>
      <w:r>
        <w:t xml:space="preserve"> </w:t>
      </w:r>
      <w:r>
        <w:t xml:space="preserve">Kyoto</w:t>
      </w:r>
      <w:r>
        <w:t xml:space="preserve"> </w:t>
      </w:r>
      <w:r>
        <w:t xml:space="preserve">Conference</w:t>
      </w:r>
      <w:r>
        <w:t xml:space="preserve"> </w:t>
      </w:r>
      <w:r>
        <w:t xml:space="preserve">Perspective</w:t>
      </w:r>
    </w:p>
    <w:bookmarkStart w:id="31" w:name="Xf2885b6c26e9aa786ea985eab69dd2bf0033df6"/>
    <w:p>
      <w:pPr>
        <w:pStyle w:val="Heading1"/>
      </w:pPr>
      <w:r>
        <w:t xml:space="preserve">The Evolving Role of the Politician in Modern Japan</w:t>
      </w:r>
      <w:r>
        <w:br/>
      </w:r>
      <w:r>
        <w:t xml:space="preserve">Insights from a Kyoto Conference Perspective</w:t>
      </w:r>
    </w:p>
    <w:p>
      <w:pPr>
        <w:pStyle w:val="FirstParagraph"/>
      </w:pPr>
      <w:r>
        <w:rPr>
          <w:bCs/>
          <w:b/>
        </w:rPr>
        <w:t xml:space="preserve">Alexander Sterling</w:t>
      </w:r>
      <w:r>
        <w:br/>
      </w:r>
      <w:r>
        <w:t xml:space="preserve">Department of Political Science, International Institute for Governance</w:t>
      </w:r>
      <w:r>
        <w:br/>
      </w:r>
      <w:r>
        <w:t xml:space="preserve">Kyoto, Japan</w:t>
      </w:r>
    </w:p>
    <w:p>
      <w:pPr>
        <w:pStyle w:val="BodyText"/>
      </w:pPr>
      <w:r>
        <w:rPr>
          <w:iCs/>
          <w:i/>
        </w:rPr>
        <w:t xml:space="preserve">Paper presented at the International Symposium on Asian Civic Engagement and Democratic Innovation</w:t>
      </w:r>
    </w:p>
    <w:p>
      <w:pPr>
        <w:pStyle w:val="BodyText"/>
      </w:pPr>
      <w:r>
        <w:rPr>
          <w:bCs/>
          <w:b/>
        </w:rPr>
        <w:t xml:space="preserve">Abstract:</w:t>
      </w:r>
      <w:r>
        <w:br/>
      </w:r>
      <w:r>
        <w:t xml:space="preserve">This conference paper explores the transformation of the politician within the complex socio-political landscape of modern Japan. By analyzing recent discourse from academic forums held in Kyoto, a city that serves as both a historical guardian and a modern hub for policy innovation, this study examines how traditional notions of representation are clashing with digital-age demands. The paper argues that effective governance in Japan requires politicians to bridge the gap between ancient administrative traditions and the urgent needs of a rapidly aging society. Through case studies and theoretical analysis, we propose a new framework for political engagement tailored to the specific cultural context of Japan Kyoto, emphasizing transparency, digital literacy, and community-centric policy-making.</w:t>
      </w:r>
    </w:p>
    <w:bookmarkStart w:id="20" w:name="introduction"/>
    <w:p>
      <w:pPr>
        <w:pStyle w:val="Heading2"/>
      </w:pPr>
      <w:r>
        <w:t xml:space="preserve">1. Introduction</w:t>
      </w:r>
    </w:p>
    <w:p>
      <w:pPr>
        <w:pStyle w:val="FirstParagraph"/>
      </w:pPr>
      <w:r>
        <w:t xml:space="preserve">The figure of the politician has long been shrouded in a veil of ambiguity within Japanese society. Historically characterized by an aura of stoic authority and collective responsibility, the modern politician faces unprecedented scrutiny in the 21st century. This paper posits that to understand contemporary Japanese politics, one must look beyond Tokyo and examine the nuanced discussions taking place in Kyoto. As a former imperial capital and a center for traditional arts and education,</w:t>
      </w:r>
      <w:r>
        <w:t xml:space="preserve"> </w:t>
      </w:r>
      <w:r>
        <w:rPr>
          <w:bCs/>
          <w:b/>
        </w:rPr>
        <w:t xml:space="preserve">Japan Kyoto</w:t>
      </w:r>
      <w:r>
        <w:t xml:space="preserve"> </w:t>
      </w:r>
      <w:r>
        <w:t xml:space="preserve">offers a unique vantage point from which to observe the friction between heritage and modernity.</w:t>
      </w:r>
    </w:p>
    <w:p>
      <w:pPr>
        <w:pStyle w:val="BodyText"/>
      </w:pPr>
      <w:r>
        <w:t xml:space="preserve">The purpose of this conference paper is to dissect the role of the</w:t>
      </w:r>
      <w:r>
        <w:t xml:space="preserve"> </w:t>
      </w:r>
      <w:r>
        <w:rPr>
          <w:bCs/>
          <w:b/>
        </w:rPr>
        <w:t xml:space="preserve">Politician</w:t>
      </w:r>
      <w:r>
        <w:t xml:space="preserve"> </w:t>
      </w:r>
      <w:r>
        <w:t xml:space="preserve">not merely as an administrator, but as a cultural mediator. In Japan, where consensus-building (nemawashi) has traditionally been the cornerstone of legislative success, the rapid influx of digital communication and global pressure for transparency challenges these established norms. This document argues that adapting to this new reality is not optional for Japanese governance but essential for its survival.</w:t>
      </w:r>
    </w:p>
    <w:bookmarkEnd w:id="20"/>
    <w:bookmarkStart w:id="21" w:name="Xae3807d092d2cd5493816e29628749b81a4a67a"/>
    <w:p>
      <w:pPr>
        <w:pStyle w:val="Heading2"/>
      </w:pPr>
      <w:r>
        <w:t xml:space="preserve">2. The Contextual Landscape: Kyoto as a Microcosm</w:t>
      </w:r>
    </w:p>
    <w:p>
      <w:pPr>
        <w:pStyle w:val="FirstParagraph"/>
      </w:pPr>
      <w:r>
        <w:t xml:space="preserve">Kyoto, often referred to simply as</w:t>
      </w:r>
      <w:r>
        <w:t xml:space="preserve"> </w:t>
      </w:r>
      <w:r>
        <w:rPr>
          <w:bCs/>
          <w:b/>
        </w:rPr>
        <w:t xml:space="preserve">Kyoto</w:t>
      </w:r>
      <w:r>
        <w:t xml:space="preserve">, represents more than just a geographical location; it symbolizes the preservation of identity amidst change. When hosting international dialogues on governance, the backdrop of Kyoto’s temples and gardens serves as a reminder that political structures must also respect history while evolving with time. The discussions held within this city highlight specific regional challenges—such as urban depopulation in historic districts and the need for sustainable tourism—that mirror national issues.</w:t>
      </w:r>
    </w:p>
    <w:p>
      <w:pPr>
        <w:pStyle w:val="BodyText"/>
      </w:pPr>
      <w:r>
        <w:t xml:space="preserve">In this context, the</w:t>
      </w:r>
      <w:r>
        <w:t xml:space="preserve"> </w:t>
      </w:r>
      <w:r>
        <w:rPr>
          <w:bCs/>
          <w:b/>
        </w:rPr>
        <w:t xml:space="preserve">Politician</w:t>
      </w:r>
      <w:r>
        <w:t xml:space="preserve"> </w:t>
      </w:r>
      <w:r>
        <w:t xml:space="preserve">is expected to possess a dual competency: deep knowledge of local heritage and proficiency in global policy standards. The traditional Japanese politician was often seen as a bureaucrat first, rising through the ranks of the Ministry or relying on entrenched party structures. However, recent trends indicate a shift towards politicians who are more visible to the public, engaging directly via social media and town-hall-style meetings.</w:t>
      </w:r>
    </w:p>
    <w:bookmarkEnd w:id="21"/>
    <w:bookmarkStart w:id="24" w:name="Xea8152cdc923db5e280705f3c40c6ab9521a724"/>
    <w:p>
      <w:pPr>
        <w:pStyle w:val="Heading2"/>
      </w:pPr>
      <w:r>
        <w:t xml:space="preserve">3. Challenges Facing Modern Japanese Politicians</w:t>
      </w:r>
    </w:p>
    <w:bookmarkStart w:id="22" w:name="the-demographic-crisis-and-policy-lag"/>
    <w:p>
      <w:pPr>
        <w:pStyle w:val="Heading3"/>
      </w:pPr>
      <w:r>
        <w:t xml:space="preserve">3.1 The Demographic Crisis and Policy Lag</w:t>
      </w:r>
    </w:p>
    <w:p>
      <w:pPr>
        <w:pStyle w:val="FirstParagraph"/>
      </w:pPr>
      <w:r>
        <w:br/>
      </w:r>
      <w:r>
        <w:t xml:space="preserve">The most pressing issue facing Japan is its demographic shift. An aging population combined with a declining birth rate creates immense pressure on healthcare and pension systems. In</w:t>
      </w:r>
      <w:r>
        <w:t xml:space="preserve"> </w:t>
      </w:r>
      <w:r>
        <w:rPr>
          <w:bCs/>
          <w:b/>
        </w:rPr>
        <w:t xml:space="preserve">Japan Kyoto</w:t>
      </w:r>
      <w:r>
        <w:t xml:space="preserve">, this is palpable; many rural municipalities struggle to maintain basic services as young people migrate to urban centers for employment.</w:t>
      </w:r>
    </w:p>
    <w:p>
      <w:pPr>
        <w:pStyle w:val="BodyText"/>
      </w:pPr>
      <w:r>
        <w:t xml:space="preserve">The role of the</w:t>
      </w:r>
      <w:r>
        <w:t xml:space="preserve"> </w:t>
      </w:r>
      <w:r>
        <w:rPr>
          <w:bCs/>
          <w:b/>
        </w:rPr>
        <w:t xml:space="preserve">Politician</w:t>
      </w:r>
      <w:r>
        <w:t xml:space="preserve"> </w:t>
      </w:r>
      <w:r>
        <w:t xml:space="preserve">here is critical. They must move beyond short-term electoral gains and formulate long-term strategies that attract youth while supporting the elderly. This requires a departure from rigid bureaucratic procedures and an embrace of agile policy-making. The conference papers presented in Kyoto emphasize that politicians who fail to address these demographic realities risk losing legitimacy in the eyes of a frustrated electorate.</w:t>
      </w:r>
    </w:p>
    <w:bookmarkEnd w:id="22"/>
    <w:bookmarkStart w:id="23" w:name="Xab9aa562ee175600efdc54fefaea043456085dd"/>
    <w:p>
      <w:pPr>
        <w:pStyle w:val="Heading3"/>
      </w:pPr>
      <w:r>
        <w:t xml:space="preserve">3.2 Digital Transparency vs. Traditional Opacity</w:t>
      </w:r>
    </w:p>
    <w:p>
      <w:pPr>
        <w:pStyle w:val="FirstParagraph"/>
      </w:pPr>
      <w:r>
        <w:br/>
      </w:r>
      <w:r>
        <w:t xml:space="preserve">A significant cultural friction exists between the traditional Japanese preference for discretion and the modern demand for absolute transparency. Historically, political negotiations occurred behind closed doors, prioritizing harmony over immediate disclosure. However, in the digital age, information leaks are instant and viral.</w:t>
      </w:r>
    </w:p>
    <w:p>
      <w:pPr>
        <w:pStyle w:val="BodyText"/>
      </w:pPr>
      <w:r>
        <w:t xml:space="preserve">Politicians must now navigate this "glass house" reality. This paper argues that</w:t>
      </w:r>
      <w:r>
        <w:t xml:space="preserve"> </w:t>
      </w:r>
      <w:r>
        <w:rPr>
          <w:bCs/>
          <w:b/>
        </w:rPr>
        <w:t xml:space="preserve">politician</w:t>
      </w:r>
      <w:r>
        <w:t xml:space="preserve">s in Japan cannot rely solely on party loyalty or bureaucratic insulation. They must cultivate personal brands based on integrity and accessibility. The failure to do so has led to a decline in public trust, necessitating a redefinition of political duty.</w:t>
      </w:r>
    </w:p>
    <w:bookmarkEnd w:id="23"/>
    <w:bookmarkEnd w:id="24"/>
    <w:bookmarkStart w:id="27" w:name="X2b8e47bcd221f910f77612d8259bc86db5ee723"/>
    <w:p>
      <w:pPr>
        <w:pStyle w:val="Heading2"/>
      </w:pPr>
      <w:r>
        <w:t xml:space="preserve">4. Proposed Framework for the Modern Politician</w:t>
      </w:r>
    </w:p>
    <w:p>
      <w:pPr>
        <w:pStyle w:val="FirstParagraph"/>
      </w:pPr>
      <w:r>
        <w:t xml:space="preserve">To address these challenges, this conference paper proposes a framework tailored specifically for the Japanese context, drawing inspiration from the intellectual environment of</w:t>
      </w:r>
      <w:r>
        <w:t xml:space="preserve"> </w:t>
      </w:r>
      <w:r>
        <w:rPr>
          <w:bCs/>
          <w:b/>
        </w:rPr>
        <w:t xml:space="preserve">Kyoto</w:t>
      </w:r>
      <w:r>
        <w:t xml:space="preserve">. We term this approach "Heritage-Informed Pragmatism."</w:t>
      </w:r>
    </w:p>
    <w:bookmarkStart w:id="25" w:name="cultural-empathy-as-political-capital"/>
    <w:p>
      <w:pPr>
        <w:pStyle w:val="Heading3"/>
      </w:pPr>
      <w:r>
        <w:t xml:space="preserve">4.1 Cultural Empathy as Political Capital</w:t>
      </w:r>
    </w:p>
    <w:p>
      <w:pPr>
        <w:pStyle w:val="FirstParagraph"/>
      </w:pPr>
      <w:r>
        <w:br/>
      </w:r>
      <w:r>
        <w:t xml:space="preserve">The modern</w:t>
      </w:r>
      <w:r>
        <w:t xml:space="preserve"> </w:t>
      </w:r>
      <w:r>
        <w:rPr>
          <w:bCs/>
          <w:b/>
        </w:rPr>
        <w:t xml:space="preserve">Politician</w:t>
      </w:r>
      <w:r>
        <w:t xml:space="preserve"> </w:t>
      </w:r>
      <w:r>
        <w:t xml:space="preserve">must utilize cultural empathy to bridge generational divides. In Kyoto, where tradition is not just preserved but celebrated as a living practice, politicians can draw parallels between historical governance models and modern civic engagement. By framing policy changes in ways that respect traditional values while introducing innovative solutions, politicians can reduce resistance to change.</w:t>
      </w:r>
    </w:p>
    <w:bookmarkEnd w:id="25"/>
    <w:bookmarkStart w:id="26" w:name="digital-literacy-and-direct-engagement"/>
    <w:p>
      <w:pPr>
        <w:pStyle w:val="Heading3"/>
      </w:pPr>
      <w:r>
        <w:t xml:space="preserve">4.2 Digital Literacy and Direct Engagement</w:t>
      </w:r>
    </w:p>
    <w:p>
      <w:pPr>
        <w:pStyle w:val="FirstParagraph"/>
      </w:pPr>
      <w:r>
        <w:br/>
      </w:r>
      <w:r>
        <w:t xml:space="preserve">Moving away from mass media broadcasts towards targeted digital communication is essential. This does not mean abandoning traditional town halls but supplementing them with robust online platforms where constituents can track the performance of their representatives in real-time. The</w:t>
      </w:r>
      <w:r>
        <w:t xml:space="preserve"> </w:t>
      </w:r>
      <w:r>
        <w:rPr>
          <w:bCs/>
          <w:b/>
        </w:rPr>
        <w:t xml:space="preserve">Politician</w:t>
      </w:r>
      <w:r>
        <w:t xml:space="preserve"> </w:t>
      </w:r>
      <w:r>
        <w:t xml:space="preserve">must be fluent in this digital dialect, ensuring that complex policy decisions are communicated clearly and honestly.</w:t>
      </w:r>
    </w:p>
    <w:bookmarkEnd w:id="26"/>
    <w:bookmarkEnd w:id="27"/>
    <w:bookmarkStart w:id="28" w:name="X216426d3b323bc7a4de3694ea1bc8d66c6fdf08"/>
    <w:p>
      <w:pPr>
        <w:pStyle w:val="Heading2"/>
      </w:pPr>
      <w:r>
        <w:t xml:space="preserve">5. Case Study: Kyoto’s Local Governance Innovations</w:t>
      </w:r>
    </w:p>
    <w:p>
      <w:pPr>
        <w:pStyle w:val="FirstParagraph"/>
      </w:pPr>
      <w:r>
        <w:br/>
      </w:r>
      <w:r>
        <w:t xml:space="preserve">An examination of local governance initiatives in</w:t>
      </w:r>
      <w:r>
        <w:t xml:space="preserve"> </w:t>
      </w:r>
      <w:r>
        <w:rPr>
          <w:bCs/>
          <w:b/>
        </w:rPr>
        <w:t xml:space="preserve">Kyoto Prefecture</w:t>
      </w:r>
      <w:r>
        <w:t xml:space="preserve"> </w:t>
      </w:r>
      <w:r>
        <w:t xml:space="preserve">provides concrete examples of this evolution. Recent reforms have empowered local councils to make decisions regarding tourism management that directly impact residents' quality of life, rather than catering solely to corporate interests. These changes were driven by a new breed of</w:t>
      </w:r>
      <w:r>
        <w:t xml:space="preserve"> </w:t>
      </w:r>
      <w:r>
        <w:rPr>
          <w:bCs/>
          <w:b/>
        </w:rPr>
        <w:t xml:space="preserve">politician</w:t>
      </w:r>
      <w:r>
        <w:t xml:space="preserve">s who prioritized citizen feedback over party directives.</w:t>
      </w:r>
    </w:p>
    <w:p>
      <w:pPr>
        <w:pStyle w:val="BodyText"/>
      </w:pPr>
      <w:r>
        <w:t xml:space="preserve">This shift demonstrates that when politicians align their actions with the specific cultural and social fabric of their constituency, they can achieve higher levels of public satisfaction and policy efficacy. The success stories from Kyoto serve as a blueprint for other regions in Japan facing similar demographic and technological pressures.</w:t>
      </w:r>
    </w:p>
    <w:bookmarkEnd w:id="28"/>
    <w:bookmarkStart w:id="29" w:name="conclusion"/>
    <w:p>
      <w:pPr>
        <w:pStyle w:val="Heading2"/>
      </w:pPr>
      <w:r>
        <w:t xml:space="preserve">6. Conclusion</w:t>
      </w:r>
    </w:p>
    <w:p>
      <w:pPr>
        <w:pStyle w:val="FirstParagraph"/>
      </w:pPr>
      <w:r>
        <w:br/>
      </w:r>
      <w:r>
        <w:t xml:space="preserve">In conclusion, the role of the</w:t>
      </w:r>
      <w:r>
        <w:t xml:space="preserve"> </w:t>
      </w:r>
      <w:r>
        <w:rPr>
          <w:bCs/>
          <w:b/>
        </w:rPr>
        <w:t xml:space="preserve">Politician</w:t>
      </w:r>
      <w:r>
        <w:t xml:space="preserve"> </w:t>
      </w:r>
      <w:r>
        <w:t xml:space="preserve">in Japan is undergoing a profound transformation. As demonstrated through discussions centered in</w:t>
      </w:r>
      <w:r>
        <w:t xml:space="preserve"> </w:t>
      </w:r>
      <w:r>
        <w:rPr>
          <w:bCs/>
          <w:b/>
        </w:rPr>
        <w:t xml:space="preserve">Kyoto Japan Kyoto</w:t>
      </w:r>
      <w:r>
        <w:t xml:space="preserve">, effective governance now requires a synthesis of historical respect and modern innovation. Politicians can no longer rely on established hierarchies alone; they must be agile, transparent, and deeply connected to the daily lives of their citizens.</w:t>
      </w:r>
    </w:p>
    <w:p>
      <w:pPr>
        <w:pStyle w:val="BodyText"/>
      </w:pPr>
      <w:r>
        <w:t xml:space="preserve">This conference paper suggests that the future of Japanese democracy lies in empowering</w:t>
      </w:r>
      <w:r>
        <w:t xml:space="preserve"> </w:t>
      </w:r>
      <w:r>
        <w:rPr>
          <w:bCs/>
          <w:b/>
        </w:rPr>
        <w:t xml:space="preserve">politician</w:t>
      </w:r>
      <w:r>
        <w:t xml:space="preserve">s who are willing to engage with the complexities of a digital society while remaining rooted in the cultural values that define Japan. By adopting a framework of "Heritage-Informed Pragmatism," Japan can ensure its political institutions remain relevant, resilient, and responsive to the needs of all citizens, preserving the unique spirit of Kyoto for generations to come.</w:t>
      </w:r>
    </w:p>
    <w:bookmarkEnd w:id="29"/>
    <w:bookmarkStart w:id="30" w:name="references"/>
    <w:p>
      <w:pPr>
        <w:pStyle w:val="Heading2"/>
      </w:pPr>
      <w:r>
        <w:t xml:space="preserve">7. References</w:t>
      </w:r>
    </w:p>
    <w:p>
      <w:pPr>
        <w:pStyle w:val="FirstParagraph"/>
      </w:pPr>
      <w:r>
        <w:br/>
      </w:r>
      <w:r>
        <w:t xml:space="preserve">[1] Tanaka, H. (2023). "Digital Governance and Traditional Values in East Asia." Journal of Asian Political Studies.</w:t>
      </w:r>
      <w:r>
        <w:br/>
      </w:r>
      <w:r>
        <w:t xml:space="preserve">[2] Kyoto Municipal Council Report on Sustainable Urban Development. (2024).</w:t>
      </w:r>
      <w:r>
        <w:br/>
      </w:r>
      <w:r>
        <w:t xml:space="preserve">[3] Smith, J., &amp; Wu, L. (2019). "The Changing Face of Representation in Japan." International Review of Sociology.</w:t>
      </w:r>
      <w:r>
        <w:br/>
      </w:r>
      <w:r>
        <w:t xml:space="preserve">[4] Ministry of Internal Affairs and Communications. "Survey on Public Trust in Politics."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Modern Japan: Insights from a Kyoto Conference Perspective</dc:title>
  <dc:creator/>
  <dc:language>en</dc:language>
  <cp:keywords/>
  <dcterms:created xsi:type="dcterms:W3CDTF">2026-07-30T07:12:59Z</dcterms:created>
  <dcterms:modified xsi:type="dcterms:W3CDTF">2026-07-30T07:12:59Z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