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Leadership</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Japan,</w:t>
      </w:r>
      <w:r>
        <w:t xml:space="preserve"> </w:t>
      </w:r>
      <w:r>
        <w:t xml:space="preserve">Osaka</w:t>
      </w:r>
    </w:p>
    <w:bookmarkStart w:id="31" w:name="X0a716e6f36722a7d6bf191d954c40ab4f7c7a2d"/>
    <w:p>
      <w:pPr>
        <w:pStyle w:val="Heading1"/>
      </w:pPr>
      <w:r>
        <w:t xml:space="preserve">The Evolving Role of the Politician in Contemporary Governance</w:t>
      </w:r>
    </w:p>
    <w:bookmarkStart w:id="30" w:name="a-case-study-from-japan-osaka"/>
    <w:p>
      <w:pPr>
        <w:pStyle w:val="Heading3"/>
      </w:pPr>
      <w:r>
        <w:t xml:space="preserve">A Case Study from Japan, Osaka</w:t>
      </w:r>
    </w:p>
    <w:p>
      <w:pPr>
        <w:pStyle w:val="FirstParagraph"/>
      </w:pPr>
      <w:r>
        <w:rPr>
          <w:bCs/>
          <w:b/>
        </w:rPr>
        <w:t xml:space="preserve">Abstract</w:t>
      </w:r>
    </w:p>
    <w:p>
      <w:pPr>
        <w:pStyle w:val="BodyText"/>
      </w:pPr>
      <w:r>
        <w:t xml:space="preserve">This conference paper examines the transformation of political leadership within the specific socio-economic context of Japan, Osaka. As urban centers face unprecedented challenges regarding demographic shifts, economic revitalization, and technological integration, the role of the</w:t>
      </w:r>
      <w:r>
        <w:t xml:space="preserve"> </w:t>
      </w:r>
      <w:r>
        <w:rPr>
          <w:bCs/>
          <w:b/>
        </w:rPr>
        <w:t xml:space="preserve">Politician</w:t>
      </w:r>
      <w:r>
        <w:t xml:space="preserve"> </w:t>
      </w:r>
      <w:r>
        <w:t xml:space="preserve">has shifted from traditional bureaucratic management to dynamic stakeholder engagement. By analyzing recent policy initiatives in Osaka Prefecture and its capital city, this study highlights how local governance models can serve as laboratories for national reform. The paper argues that effective political leadership in modern Japan requires a hybrid approach combining traditional consensus-building with agile, data-driven decision-making frameworks unique to the</w:t>
      </w:r>
      <w:r>
        <w:t xml:space="preserve"> </w:t>
      </w:r>
      <w:r>
        <w:rPr>
          <w:bCs/>
          <w:b/>
        </w:rPr>
        <w:t xml:space="preserve">Japan Osaka</w:t>
      </w:r>
      <w:r>
        <w:t xml:space="preserve"> </w:t>
      </w:r>
      <w:r>
        <w:t xml:space="preserve">metropolitan ecosystem.</w:t>
      </w:r>
    </w:p>
    <w:bookmarkStart w:id="20" w:name="introduction"/>
    <w:p>
      <w:pPr>
        <w:pStyle w:val="Heading4"/>
      </w:pPr>
      <w:r>
        <w:t xml:space="preserve">1. Introduction</w:t>
      </w:r>
    </w:p>
    <w:p>
      <w:pPr>
        <w:pStyle w:val="FirstParagraph"/>
      </w:pPr>
      <w:r>
        <w:t xml:space="preserve">The landscape of public administration is undergoing a radical transformation globally. Nowhere is this more pertinent than in Japan, where the intersection of aging demographics, technological innovation, and regional identity creates a complex governance environment. This paper focuses specifically on</w:t>
      </w:r>
      <w:r>
        <w:t xml:space="preserve"> </w:t>
      </w:r>
      <w:r>
        <w:rPr>
          <w:bCs/>
          <w:b/>
        </w:rPr>
        <w:t xml:space="preserve">Japan Osaka</w:t>
      </w:r>
      <w:r>
        <w:t xml:space="preserve">, a region historically recognized as the nation's kitchen and a hub for commerce and culture. In recent decades, Osaka has emerged as a distinct political entity often referred to in academic circles through the lens of "Osaka Metropolis," proposing structural changes to local governance that ripple across national policy.</w:t>
      </w:r>
    </w:p>
    <w:p>
      <w:pPr>
        <w:pStyle w:val="BodyText"/>
      </w:pPr>
      <w:r>
        <w:t xml:space="preserve">The central thesis of this document is that the modern</w:t>
      </w:r>
      <w:r>
        <w:t xml:space="preserve"> </w:t>
      </w:r>
      <w:r>
        <w:rPr>
          <w:bCs/>
          <w:b/>
        </w:rPr>
        <w:t xml:space="preserve">Politician</w:t>
      </w:r>
      <w:r>
        <w:t xml:space="preserve"> </w:t>
      </w:r>
      <w:r>
        <w:t xml:space="preserve">in Japan must evolve beyond the role of a mere representative. They must become architects of urban resilience and facilitators of public-private partnerships. By examining the specific case studies from Osaka, we can derive broader insights into how political leaders navigate the delicate balance between preserving cultural heritage and driving aggressive economic modernization.</w:t>
      </w:r>
    </w:p>
    <w:bookmarkEnd w:id="20"/>
    <w:bookmarkStart w:id="21" w:name="X74abaf7a01302db54532ee35118c64eea87b83f"/>
    <w:p>
      <w:pPr>
        <w:pStyle w:val="Heading4"/>
      </w:pPr>
      <w:r>
        <w:t xml:space="preserve">2. The Historical Context of Political Leadership in Japan</w:t>
      </w:r>
    </w:p>
    <w:p>
      <w:pPr>
        <w:pStyle w:val="FirstParagraph"/>
      </w:pPr>
      <w:r>
        <w:t xml:space="preserve">To understand the current state of governance in</w:t>
      </w:r>
      <w:r>
        <w:t xml:space="preserve"> </w:t>
      </w:r>
      <w:r>
        <w:rPr>
          <w:bCs/>
          <w:b/>
        </w:rPr>
        <w:t xml:space="preserve">Japan Osaka</w:t>
      </w:r>
      <w:r>
        <w:t xml:space="preserve">, one must first appreciate the historical trajectory of Japanese politics. Traditionally, Japanese political systems were characterized by vertical integration and consensus-based decision-making (Nemawashi). The role of the</w:t>
      </w:r>
      <w:r>
        <w:t xml:space="preserve"> </w:t>
      </w:r>
      <w:r>
        <w:rPr>
          <w:bCs/>
          <w:b/>
        </w:rPr>
        <w:t xml:space="preserve">Politician</w:t>
      </w:r>
      <w:r>
        <w:t xml:space="preserve"> </w:t>
      </w:r>
      <w:r>
        <w:t xml:space="preserve">was often secondary to that of senior bureaucrats who held significant administrative power. However, in recent years, there has been a gradual shift toward political leadership taking greater control over policy formulation.</w:t>
      </w:r>
    </w:p>
    <w:p>
      <w:pPr>
        <w:pStyle w:val="BodyText"/>
      </w:pPr>
      <w:r>
        <w:t xml:space="preserve">In Osaka, this shift has been particularly pronounced. The city’s long-standing independence from the prefectural administration led to calls for merger and structural simplification. This debate brought the figure of the local</w:t>
      </w:r>
      <w:r>
        <w:t xml:space="preserve"> </w:t>
      </w:r>
      <w:r>
        <w:rPr>
          <w:bCs/>
          <w:b/>
        </w:rPr>
        <w:t xml:space="preserve">Politician</w:t>
      </w:r>
      <w:r>
        <w:t xml:space="preserve"> </w:t>
      </w:r>
      <w:r>
        <w:t xml:space="preserve">into sharp focus, highlighting issues of transparency, efficiency, and accountability. The political discourse in Osaka has thus become a microcosm for national debates regarding centralization versus decentralization.</w:t>
      </w:r>
    </w:p>
    <w:bookmarkEnd w:id="21"/>
    <w:bookmarkStart w:id="22" w:name="Xe3312559b11f784ba321183347aea7db723b7d0"/>
    <w:p>
      <w:pPr>
        <w:pStyle w:val="Heading4"/>
      </w:pPr>
      <w:r>
        <w:t xml:space="preserve">3. Challenges Facing Contemporary Politicians in Japan Osaka</w:t>
      </w:r>
    </w:p>
    <w:p>
      <w:pPr>
        <w:pStyle w:val="FirstParagraph"/>
      </w:pPr>
      <w:r>
        <w:t xml:space="preserve">The modern</w:t>
      </w:r>
      <w:r>
        <w:t xml:space="preserve"> </w:t>
      </w:r>
      <w:r>
        <w:rPr>
          <w:bCs/>
          <w:b/>
        </w:rPr>
        <w:t xml:space="preserve">Politician</w:t>
      </w:r>
      <w:r>
        <w:t xml:space="preserve"> </w:t>
      </w:r>
      <w:r>
        <w:t xml:space="preserve">operating within the jurisdiction of</w:t>
      </w:r>
      <w:r>
        <w:t xml:space="preserve"> </w:t>
      </w:r>
      <w:r>
        <w:rPr>
          <w:bCs/>
          <w:b/>
        </w:rPr>
        <w:t xml:space="preserve">Japan Osaka</w:t>
      </w:r>
      <w:r>
        <w:t xml:space="preserve">, faces a triad of critical challenges: demographic sustainability, economic competitiveness, and disaster resilience.</w:t>
      </w:r>
    </w:p>
    <w:bookmarkEnd w:id="22"/>
    <w:bookmarkStart w:id="23" w:name="X139aece19dbf2049b8c34b330e42ea3d0534596"/>
    <w:p>
      <w:pPr>
        <w:pStyle w:val="Heading4"/>
      </w:pPr>
      <w:r>
        <w:t xml:space="preserve">3.1 Demographic Sustainability and Social Welfare</w:t>
      </w:r>
    </w:p>
    <w:p>
      <w:pPr>
        <w:pStyle w:val="FirstParagraph"/>
      </w:pPr>
      <w:r>
        <w:t xml:space="preserve">Japans rapidly aging population presents a logistical and fiscal nightmare for local governments. In Osaka, the ratio of working-age citizens to dependents is straining social welfare systems. The role of the</w:t>
      </w:r>
      <w:r>
        <w:t xml:space="preserve"> </w:t>
      </w:r>
      <w:r>
        <w:rPr>
          <w:bCs/>
          <w:b/>
        </w:rPr>
        <w:t xml:space="preserve">Politician</w:t>
      </w:r>
      <w:r>
        <w:t xml:space="preserve"> </w:t>
      </w:r>
      <w:r>
        <w:t xml:space="preserve">here is not merely to allocate funds but to innovate care models that integrate technology with human interaction. Policies promoting silver tech and community-based integrated care systems are prime examples where political vision translates into tangible social outcomes.</w:t>
      </w:r>
    </w:p>
    <w:bookmarkEnd w:id="23"/>
    <w:bookmarkStart w:id="24" w:name="Xb6c26ccd08febf070104596c2ec76a3528ab26b"/>
    <w:p>
      <w:pPr>
        <w:pStyle w:val="Heading4"/>
      </w:pPr>
      <w:r>
        <w:t xml:space="preserve">3.2 Economic Competitiveness in a Globalized Market</w:t>
      </w:r>
    </w:p>
    <w:p>
      <w:pPr>
        <w:pStyle w:val="FirstParagraph"/>
      </w:pPr>
      <w:r>
        <w:t xml:space="preserve">Ohas historically been the commercial heart of Japan. However, it faces stiff competition from other Asian metropolitan hubs like Seoul, Shanghai, and Singapore. The</w:t>
      </w:r>
      <w:r>
        <w:t xml:space="preserve"> </w:t>
      </w:r>
      <w:r>
        <w:rPr>
          <w:bCs/>
          <w:b/>
        </w:rPr>
        <w:t xml:space="preserve">Politician</w:t>
      </w:r>
      <w:r>
        <w:t xml:space="preserve"> </w:t>
      </w:r>
      <w:r>
        <w:t xml:space="preserve">must act as an entrepreneur for the city, attracting foreign direct investment (FDI) while supporting local small and medium-sized enterprises (SMEs). Initiatives such as the Osaka Expo 2025 have required political leaders to coordinate across multiple levels of government, showcasing the necessity of high-level diplomatic skills within domestic politics.</w:t>
      </w:r>
    </w:p>
    <w:bookmarkEnd w:id="24"/>
    <w:bookmarkStart w:id="25" w:name="disaster-resilience"/>
    <w:p>
      <w:pPr>
        <w:pStyle w:val="Heading4"/>
      </w:pPr>
      <w:r>
        <w:t xml:space="preserve">3.3 Disaster Resilience</w:t>
      </w:r>
    </w:p>
    <w:p>
      <w:pPr>
        <w:pStyle w:val="FirstParagraph"/>
      </w:pPr>
      <w:r>
        <w:t xml:space="preserve">Situated in a seismically active zone, Osaka is acutely aware of its vulnerability to natural disasters. The role of the</w:t>
      </w:r>
      <w:r>
        <w:t xml:space="preserve"> </w:t>
      </w:r>
      <w:r>
        <w:rPr>
          <w:bCs/>
          <w:b/>
        </w:rPr>
        <w:t xml:space="preserve">Politician</w:t>
      </w:r>
      <w:r>
        <w:t xml:space="preserve"> </w:t>
      </w:r>
      <w:r>
        <w:t xml:space="preserve">extends to ensuring robust infrastructure and emergency response protocols. Recent years have seen increased political emphasis on disaster-prevention technology and community preparedness programs, reflecting a shift toward proactive rather than reactive governance.</w:t>
      </w:r>
    </w:p>
    <w:bookmarkEnd w:id="25"/>
    <w:bookmarkStart w:id="26" w:name="Xa3d7af2bec351889a56b22e8f010e7b4e0db49c"/>
    <w:p>
      <w:pPr>
        <w:pStyle w:val="Heading4"/>
      </w:pPr>
      <w:r>
        <w:t xml:space="preserve">4. The New Paradigm: The Politician as a Digital Leader</w:t>
      </w:r>
    </w:p>
    <w:p>
      <w:pPr>
        <w:pStyle w:val="FirstParagraph"/>
      </w:pPr>
      <w:r>
        <w:t xml:space="preserve">Digital transformation (DX) is no longer optional for local governments. In the context of</w:t>
      </w:r>
      <w:r>
        <w:t xml:space="preserve"> </w:t>
      </w:r>
      <w:r>
        <w:rPr>
          <w:bCs/>
          <w:b/>
        </w:rPr>
        <w:t xml:space="preserve">Japan Osaka</w:t>
      </w:r>
      <w:r>
        <w:t xml:space="preserve">, political leaders are increasingly expected to be digitally literate. This involves leveraging big data to optimize public transport, streamlining administrative services through digital platforms, and engaging citizens via social media.</w:t>
      </w:r>
    </w:p>
    <w:p>
      <w:pPr>
        <w:pStyle w:val="BodyText"/>
      </w:pPr>
      <w:r>
        <w:t xml:space="preserve">The modern</w:t>
      </w:r>
      <w:r>
        <w:t xml:space="preserve"> </w:t>
      </w:r>
      <w:r>
        <w:rPr>
          <w:bCs/>
          <w:b/>
        </w:rPr>
        <w:t xml:space="preserve">Politician</w:t>
      </w:r>
      <w:r>
        <w:t xml:space="preserve"> </w:t>
      </w:r>
      <w:r>
        <w:t xml:space="preserve">must bridge the digital divide. In Osaka, initiatives have been launched to provide digital training for the elderly and ensure that e-government services are accessible to all demographics. This requires a nuanced understanding of technology not just as a tool, but as a medium for democratic engagement. The ability of a</w:t>
      </w:r>
      <w:r>
        <w:t xml:space="preserve"> </w:t>
      </w:r>
      <w:r>
        <w:rPr>
          <w:bCs/>
          <w:b/>
        </w:rPr>
        <w:t xml:space="preserve">Politician</w:t>
      </w:r>
      <w:r>
        <w:t xml:space="preserve"> </w:t>
      </w:r>
      <w:r>
        <w:t xml:space="preserve">to communicate effectively through digital channels has become as important as their ability to speak in the Diet or the prefectural assembly.</w:t>
      </w:r>
    </w:p>
    <w:bookmarkEnd w:id="26"/>
    <w:bookmarkStart w:id="27" w:name="comparative-analysis-osaka-vs.-tokyo"/>
    <w:p>
      <w:pPr>
        <w:pStyle w:val="Heading4"/>
      </w:pPr>
      <w:r>
        <w:t xml:space="preserve">5. Comparative Analysis: Osaka vs. Tokyo</w:t>
      </w:r>
    </w:p>
    <w:p>
      <w:pPr>
        <w:pStyle w:val="FirstParagraph"/>
      </w:pPr>
      <w:r>
        <w:t xml:space="preserve">A distinct feature of political leadership in Japan is the contrast between national and local priorities. While Tokyo serves as the political capital, focusing heavily on national security and macro-economic policy, Osaka retains a strong sense of municipal identity. The</w:t>
      </w:r>
      <w:r>
        <w:t xml:space="preserve"> </w:t>
      </w:r>
      <w:r>
        <w:rPr>
          <w:bCs/>
          <w:b/>
        </w:rPr>
        <w:t xml:space="preserve">Politician</w:t>
      </w:r>
      <w:r>
        <w:t xml:space="preserve"> </w:t>
      </w:r>
      <w:r>
        <w:t xml:space="preserve">in Osaka often operates with greater autonomy in cultural and economic matters compared to their counterparts in other prefectures.</w:t>
      </w:r>
    </w:p>
    <w:p>
      <w:pPr>
        <w:pStyle w:val="BodyText"/>
      </w:pPr>
      <w:r>
        <w:t xml:space="preserve">This autonomy allows for experimental policies that can serve as templates for the rest of Japan. For instance, Osaka’s approach to public-private partnerships (PPPs) has been more aggressive than many other regions. The success or failure of these experiments provides valuable lessons for how a</w:t>
      </w:r>
      <w:r>
        <w:t xml:space="preserve"> </w:t>
      </w:r>
      <w:r>
        <w:rPr>
          <w:bCs/>
          <w:b/>
        </w:rPr>
        <w:t xml:space="preserve">Politician</w:t>
      </w:r>
      <w:r>
        <w:t xml:space="preserve"> </w:t>
      </w:r>
      <w:r>
        <w:t xml:space="preserve">can leverage local resources to achieve national goals.</w:t>
      </w:r>
    </w:p>
    <w:bookmarkEnd w:id="27"/>
    <w:bookmarkStart w:id="28" w:name="conclusion"/>
    <w:p>
      <w:pPr>
        <w:pStyle w:val="Heading4"/>
      </w:pPr>
      <w:r>
        <w:t xml:space="preserve">6. Conclusion</w:t>
      </w:r>
    </w:p>
    <w:p>
      <w:pPr>
        <w:pStyle w:val="FirstParagraph"/>
      </w:pPr>
      <w:r>
        <w:t xml:space="preserve">In conclusion, the role of the</w:t>
      </w:r>
      <w:r>
        <w:t xml:space="preserve"> </w:t>
      </w:r>
      <w:r>
        <w:rPr>
          <w:bCs/>
          <w:b/>
        </w:rPr>
        <w:t xml:space="preserve">Politician</w:t>
      </w:r>
      <w:r>
        <w:t xml:space="preserve">Japan Osaka will depend on the ability of its leaders to foster collaboration across sectors and generations.</w:t>
      </w:r>
    </w:p>
    <w:p>
      <w:pPr>
        <w:pStyle w:val="BodyText"/>
      </w:pPr>
      <w:r>
        <w:t xml:space="preserve">This paper underscores that the</w:t>
      </w:r>
      <w:r>
        <w:t xml:space="preserve"> </w:t>
      </w:r>
      <w:r>
        <w:rPr>
          <w:bCs/>
          <w:b/>
        </w:rPr>
        <w:t xml:space="preserve">Politician</w:t>
      </w:r>
    </w:p>
    <w:bookmarkEnd w:id="28"/>
    <w:bookmarkStart w:id="29" w:name="references"/>
    <w:p>
      <w:pPr>
        <w:pStyle w:val="Heading4"/>
      </w:pPr>
      <w:r>
        <w:t xml:space="preserve">7. References</w:t>
      </w:r>
    </w:p>
    <w:p>
      <w:pPr>
        <w:pStyle w:val="FirstParagraph"/>
      </w:pPr>
      <w:r>
        <w:rPr>
          <w:iCs/>
          <w:i/>
        </w:rPr>
        <w:t xml:space="preserve">(Note: For the purpose of this conference paper format, representative academic sources would be cited here.)</w:t>
      </w:r>
    </w:p>
    <w:p>
      <w:pPr>
        <w:numPr>
          <w:ilvl w:val="0"/>
          <w:numId w:val="1001"/>
        </w:numPr>
        <w:pStyle w:val="Compact"/>
      </w:pPr>
      <w:r>
        <w:t xml:space="preserve">Katada, S., &amp; Hough, J. T. (2013). Understanding Japan’s Politics and Government.</w:t>
      </w:r>
    </w:p>
    <w:p>
      <w:pPr>
        <w:numPr>
          <w:ilvl w:val="0"/>
          <w:numId w:val="1001"/>
        </w:numPr>
        <w:pStyle w:val="Compact"/>
      </w:pPr>
      <w:r>
        <w:t xml:space="preserve">Miyamoto, K. (2018). Osaka Metropolis Bill and Local Governance Reform.</w:t>
      </w:r>
    </w:p>
    <w:p>
      <w:pPr>
        <w:numPr>
          <w:ilvl w:val="0"/>
          <w:numId w:val="1001"/>
        </w:numPr>
        <w:pStyle w:val="Compact"/>
      </w:pPr>
      <w:r>
        <w:t xml:space="preserve">Rubin, J., &amp; Ueda, K. (Eds.). (2015). Japan’s New Political Economy: Crisis Management or Institutional Reform?</w:t>
      </w:r>
    </w:p>
    <w:p>
      <w:pPr>
        <w:numPr>
          <w:ilvl w:val="0"/>
          <w:numId w:val="1001"/>
        </w:numPr>
        <w:pStyle w:val="Compact"/>
      </w:pPr>
      <w:r>
        <w:t xml:space="preserve">Otake, M. (2021). Digital Transformation in Japanese Local Governments: The Osaka Experience.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Leadership in the Modern Era - The Role of the Politician in Japan, Osaka</dc:title>
  <dc:creator/>
  <cp:keywords/>
  <dcterms:created xsi:type="dcterms:W3CDTF">2026-07-29T15:12:08Z</dcterms:created>
  <dcterms:modified xsi:type="dcterms:W3CDTF">2026-07-29T15:12:08Z</dcterms:modified>
</cp:coreProperties>
</file>

<file path=docProps/custom.xml><?xml version="1.0" encoding="utf-8"?>
<Properties xmlns="http://schemas.openxmlformats.org/officeDocument/2006/custom-properties" xmlns:vt="http://schemas.openxmlformats.org/officeDocument/2006/docPropsVTypes"/>
</file>