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Qatar</w:t>
      </w:r>
      <w:r>
        <w:t xml:space="preserve"> </w:t>
      </w:r>
      <w:r>
        <w:t xml:space="preserve">Doha</w:t>
      </w:r>
    </w:p>
    <w:bookmarkStart w:id="21" w:name="Xfdc58d62aeb6047c49b105910f43f1656f48237"/>
    <w:p>
      <w:pPr>
        <w:pStyle w:val="Heading1"/>
      </w:pPr>
      <w:r>
        <w:t xml:space="preserve">The Modern Politician in the Gulf Context</w:t>
      </w:r>
    </w:p>
    <w:bookmarkStart w:id="20" w:name="X132a7e2893cf2115aead5fc20e6567e9ed3a88f"/>
    <w:p>
      <w:pPr>
        <w:pStyle w:val="Heading3"/>
      </w:pPr>
      <w:r>
        <w:t xml:space="preserve">Bridging Tradition and Innovation: A Strategic Framework for Qatar Doha</w:t>
      </w:r>
    </w:p>
    <w:p>
      <w:pPr>
        <w:pStyle w:val="FirstParagraph"/>
      </w:pPr>
      <w:r>
        <w:rPr>
          <w:bCs/>
          <w:b/>
        </w:rPr>
        <w:t xml:space="preserve">Presented at:</w:t>
      </w:r>
      <w:r>
        <w:t xml:space="preserve"> </w:t>
      </w:r>
      <w:r>
        <w:t xml:space="preserve">International Conference on Sustainable Urban Governance</w:t>
      </w:r>
      <w:r>
        <w:br/>
      </w:r>
      <w:r>
        <w:rPr>
          <w:iCs/>
          <w:i/>
        </w:rPr>
        <w:t xml:space="preserve">Date:</w:t>
      </w:r>
      <w:r>
        <w:t xml:space="preserve"> </w:t>
      </w:r>
      <w:r>
        <w:t xml:space="preserve">May 2024</w:t>
      </w:r>
      <w:r>
        <w:br/>
      </w:r>
      <w:r>
        <w:rPr>
          <w:iCs/>
          <w:i/>
        </w:rPr>
        <w:t xml:space="preserve">Affiliation:</w:t>
      </w:r>
      <w:r>
        <w:t xml:space="preserve">Doha Institute for Graduate Studies</w:t>
      </w:r>
    </w:p>
    <w:p>
      <w:pPr>
        <w:pStyle w:val="BodyText"/>
      </w:pPr>
      <w:r>
        <w:br/>
      </w:r>
      <w:r>
        <w:br/>
      </w:r>
    </w:p>
    <w:bookmarkEnd w:id="20"/>
    <w:bookmarkEnd w:id="21"/>
    <w:bookmarkStart w:id="23" w:name="X52bb37d9b217b15eb44df7dccfac6663293d98c"/>
    <w:p>
      <w:pPr>
        <w:pStyle w:val="Heading1"/>
      </w:pPr>
      <w:r>
        <w:t xml:space="preserve">The Modern Politician in the Gulf Context: Bridging Tradition and Innovation in Qatar Doha</w:t>
      </w:r>
    </w:p>
    <w:p>
      <w:pPr>
        <w:pStyle w:val="FirstParagraph"/>
      </w:pPr>
      <w:r>
        <w:rPr>
          <w:bCs/>
          <w:b/>
        </w:rPr>
        <w:t xml:space="preserve">Presented at:</w:t>
      </w:r>
      <w:r>
        <w:t xml:space="preserve"> </w:t>
      </w:r>
      <w:r>
        <w:t xml:space="preserve">International Conference on Sustainable Urban Governance</w:t>
      </w:r>
      <w:r>
        <w:br/>
      </w:r>
      <w:r>
        <w:rPr>
          <w:iCs/>
          <w:i/>
        </w:rPr>
        <w:t xml:space="preserve">Date:</w:t>
      </w:r>
      <w:r>
        <w:t xml:space="preserve"> </w:t>
      </w:r>
      <w:r>
        <w:t xml:space="preserve">October 2023</w:t>
      </w:r>
      <w:r>
        <w:br/>
      </w:r>
      <w:r>
        <w:rPr>
          <w:iCs/>
          <w:i/>
        </w:rPr>
        <w:t xml:space="preserve">Affiliation:</w:t>
      </w:r>
      <w:r>
        <w:t xml:space="preserve"> </w:t>
      </w:r>
      <w:r>
        <w:t xml:space="preserve">Doha Institute for Graduate Studies</w:t>
      </w:r>
    </w:p>
    <w:p>
      <w:pPr>
        <w:pStyle w:val="BodyText"/>
      </w:pPr>
      <w:r>
        <w:br/>
      </w:r>
    </w:p>
    <w:bookmarkStart w:id="22" w:name="abstract"/>
    <w:p>
      <w:pPr>
        <w:pStyle w:val="Heading3"/>
      </w:pPr>
      <w:r>
        <w:t xml:space="preserve">Abstract</w:t>
      </w:r>
    </w:p>
    <w:p>
      <w:pPr>
        <w:pStyle w:val="FirstParagraph"/>
      </w:pPr>
      <w:r>
        <w:t xml:space="preserve">As the global political landscape undergoes significant transformation due to digitalization, climate change, and geopolitical shifts, the role of the politician has evolved from mere representation to active stewardship. This paper examines the emerging profile of the modern politician within a specific regional context: Qatar Doha. By analyzing historical precedents alongside contemporary developments in smart city infrastructure and diplomatic engagement, this study argues that politicians in Qatar Doha must embody a dual identity: one rooted deeply in Islamic and Arab traditions, yet aggressively forward-looking toward technological integration and sustainability. We propose a framework for leadership development that balances cultural preservation with the demands of Vision 2030, offering insights for other emerging urban centers.</w:t>
      </w:r>
    </w:p>
    <w:bookmarkEnd w:id="22"/>
    <w:bookmarkEnd w:id="23"/>
    <w:bookmarkStart w:id="24" w:name="introduction"/>
    <w:p>
      <w:pPr>
        <w:pStyle w:val="Heading2"/>
      </w:pPr>
      <w:r>
        <w:t xml:space="preserve">1. Introduction</w:t>
      </w:r>
    </w:p>
    <w:p>
      <w:pPr>
        <w:pStyle w:val="FirstParagraph"/>
      </w:pPr>
      <w:r>
        <w:t xml:space="preserve">The concept of political leadership is rarely static; it is a reflection of the societal values, economic realities, and technological capabilities of its time. In the 21st century, this evolution is particularly acute in cities that serve as global hubs for finance, diplomacy, and culture. Among these cities stands Qatar Doha (note: correct spelling), which has rapidly transformed from a regional trade hub into an international stage for high-stakes diplomacy and modern urban planning.</w:t>
      </w:r>
    </w:p>
    <w:p>
      <w:pPr>
        <w:pStyle w:val="BodyText"/>
      </w:pPr>
      <w:r>
        <w:t xml:space="preserve">This paper explores the specific challenges and opportunities facing the politician in Qatar Doha. Unlike their counterparts in established Western democracies or other monarchies, politicians in this region operate within a unique ecosystem. They are tasked with managing a hyper-modern metropolis while maintaining strict adherence to traditional social codes and religious values. The central thesis of this conference paper is that the successful politician of tomorrow will not be defined by partisan polarization, but by their ability to synthesize heritage with innovation—a necessity for any leader operating in the vibrant context of Qatar Doha.</w:t>
      </w:r>
    </w:p>
    <w:bookmarkEnd w:id="24"/>
    <w:bookmarkStart w:id="25" w:name="Xebb52069e67f5b7b13f10d9e5282cd62d0ad490"/>
    <w:p>
      <w:pPr>
        <w:pStyle w:val="Heading2"/>
      </w:pPr>
      <w:r>
        <w:t xml:space="preserve">2. Historical Context: From Pearl Diving to Global Diplomacy</w:t>
      </w:r>
    </w:p>
    <w:p>
      <w:pPr>
        <w:pStyle w:val="FirstParagraph"/>
      </w:pPr>
      <w:r>
        <w:t xml:space="preserve">To understand the contemporary politician, one must understand the trajectory of Qatar Doha. For centuries, life in this region revolved around maritime traditions and desert survival. The political structure was organic, based on tribal consensus and religious authority. However, the discovery of natural gas catalyzed a rapid modernization process that fundamentally altered how governance functions.</w:t>
      </w:r>
    </w:p>
    <w:p>
      <w:pPr>
        <w:pStyle w:val="BodyText"/>
      </w:pPr>
      <w:r>
        <w:t xml:space="preserve">As Qatar Doha expanded its skyline with iconic architecture—such as the Museum of Islamic Art and the futuristic Education City—the role of government officials shifted from resource managers to urban planners and global brand ambassadors. The politician in Qatar Doha became not just an administrator, but a curator of national identity. This transition required leaders who were fluent in both Bedouin customs and international diplomatic protocols. The historical pivot demonstrates that adaptability has always been a core component of political legitimacy in this region.</w:t>
      </w:r>
    </w:p>
    <w:bookmarkEnd w:id="25"/>
    <w:bookmarkStart w:id="26" w:name="Xacb6d0dc154f3dd7e46f425e3a067f1976fe25e"/>
    <w:p>
      <w:pPr>
        <w:pStyle w:val="Heading2"/>
      </w:pPr>
      <w:r>
        <w:t xml:space="preserve">3. Defining the Modern Politician: Key Competencies</w:t>
      </w:r>
    </w:p>
    <w:p>
      <w:pPr>
        <w:pStyle w:val="FirstParagraph"/>
      </w:pPr>
      <w:r>
        <w:t xml:space="preserve">In the context of Qatar Doha, the modern politician requires a specific set of competencies that differ from traditional models. These can be categorized into three primary domains:</w:t>
      </w:r>
    </w:p>
    <w:p>
      <w:pPr>
        <w:numPr>
          <w:ilvl w:val="0"/>
          <w:numId w:val="1001"/>
        </w:numPr>
        <w:pStyle w:val="Compact"/>
      </w:pPr>
      <w:r>
        <w:rPr>
          <w:bCs/>
          <w:b/>
        </w:rPr>
        <w:t xml:space="preserve">Cultural Diplomacy:</w:t>
      </w:r>
      <w:r>
        <w:t xml:space="preserve"> </w:t>
      </w:r>
      <w:r>
        <w:t xml:space="preserve">Qatar Doho hosts numerous international conferences and acts as a mediator in global conflicts. Therefore, politicians must possess high emotional intelligence and cross-cultural communication skills to represent national interests effectively on the world stage.</w:t>
      </w:r>
    </w:p>
    <w:p>
      <w:pPr>
        <w:numPr>
          <w:ilvl w:val="0"/>
          <w:numId w:val="1001"/>
        </w:numPr>
        <w:pStyle w:val="Compact"/>
      </w:pPr>
      <w:r>
        <w:rPr>
          <w:bCs/>
          <w:b/>
        </w:rPr>
        <w:t xml:space="preserve">Digital Governance Literacy:</w:t>
      </w:r>
      <w:r>
        <w:t xml:space="preserve"> </w:t>
      </w:r>
      <w:r>
        <w:t xml:space="preserve">With Qatar Doha’s push toward becoming a smart city, politicians must understand data analytics, AI ethics, and cybersecurity. They cannot simply delegate these issues; they must be able to legislate effectively in the digital realm.</w:t>
      </w:r>
    </w:p>
    <w:p>
      <w:pPr>
        <w:numPr>
          <w:ilvl w:val="0"/>
          <w:numId w:val="1001"/>
        </w:numPr>
        <w:pStyle w:val="Compact"/>
      </w:pPr>
      <w:r>
        <w:rPr>
          <w:bCs/>
          <w:b/>
        </w:rPr>
        <w:t xml:space="preserve">Sustainability Advocacy:</w:t>
      </w:r>
      <w:r>
        <w:t xml:space="preserve"> </w:t>
      </w:r>
      <w:r>
        <w:t xml:space="preserve">The political agenda is increasingly dominated by environmental concerns. Leaders must champion green initiatives, such as those seen in the Lusail Smart City project, while ensuring that economic diversification does not compromise social welfare.</w:t>
      </w:r>
    </w:p>
    <w:bookmarkEnd w:id="26"/>
    <w:bookmarkStart w:id="27" w:name="X5a28a0dc2a22c66b999e1c722036c79a9e0710c"/>
    <w:p>
      <w:pPr>
        <w:pStyle w:val="Heading2"/>
      </w:pPr>
      <w:r>
        <w:t xml:space="preserve">4. The Challenge of Public Engagement in Qatar Doha</w:t>
      </w:r>
    </w:p>
    <w:p>
      <w:pPr>
        <w:pStyle w:val="FirstParagraph"/>
      </w:pPr>
      <w:r>
        <w:t xml:space="preserve">A significant shift in the role of the politician is the expectation of direct public engagement. Historically, governance was top-down. However, with a young, highly educated population and widespread social media usage, citizens in Qatar Doha demand greater transparency and responsiveness.</w:t>
      </w:r>
    </w:p>
    <w:p>
      <w:pPr>
        <w:pStyle w:val="BodyText"/>
      </w:pPr>
      <w:r>
        <w:t xml:space="preserve">The modern politician must navigate this digital town square carefully. Missteps can lead to immediate reputational damage. Conversely, successful engagement—such as using government apps to solicit feedback on urban planning—can build substantial trust. This two-way communication channel is essential for maintaining the social contract in a rapidly changing society.</w:t>
      </w:r>
    </w:p>
    <w:bookmarkEnd w:id="27"/>
    <w:bookmarkStart w:id="28" w:name="Xb87542571fff9979f2f6b2818fa451153345dc7"/>
    <w:p>
      <w:pPr>
        <w:pStyle w:val="Heading2"/>
      </w:pPr>
      <w:r>
        <w:t xml:space="preserve">5. Case Study: The Vision 2030 Implementation</w:t>
      </w:r>
    </w:p>
    <w:p>
      <w:pPr>
        <w:pStyle w:val="FirstParagraph"/>
      </w:pPr>
      <w:r>
        <w:t xml:space="preserve">No discussion of politicians in Qatar Doha is complete without reference to the National Vision 2030. This comprehensive roadmap outlines four pillars: human, social, economic, and environmental development.</w:t>
      </w:r>
    </w:p>
    <w:p>
      <w:pPr>
        <w:pStyle w:val="BodyText"/>
      </w:pPr>
      <w:r>
        <w:t xml:space="preserve">Policymakers tasked with implementing these goals face complex trade-offs. For instance, promoting tourism and education (economic/social pillars) while preserving local culture (social pillar) requires nuanced political maneuvering. Politicians must act as facilitators between private sector innovation and public interest regulation. The success of major events like the FIFA World Cup 2022 serves as a testament to what coordinated political effort can achieve, but it also raises questions about long-term legacy and maintenance, which remain key challenges for current leaders.</w:t>
      </w:r>
    </w:p>
    <w:bookmarkEnd w:id="28"/>
    <w:bookmarkStart w:id="29" w:name="X74747fd5de6298ddd433390b3161fc302f3d7d8"/>
    <w:p>
      <w:pPr>
        <w:pStyle w:val="Heading2"/>
      </w:pPr>
      <w:r>
        <w:t xml:space="preserve">6. Recommendations for Leadership Development</w:t>
      </w:r>
    </w:p>
    <w:p>
      <w:pPr>
        <w:pStyle w:val="FirstParagraph"/>
      </w:pPr>
      <w:r>
        <w:t xml:space="preserve">To prepare future politicians for the complexities of governing Qatar Doha (and similar emerging hubs), we propose the following recommendations:</w:t>
      </w:r>
    </w:p>
    <w:p>
      <w:pPr>
        <w:numPr>
          <w:ilvl w:val="0"/>
          <w:numId w:val="1002"/>
        </w:numPr>
        <w:pStyle w:val="Compact"/>
      </w:pPr>
      <w:r>
        <w:rPr>
          <w:bCs/>
          <w:b/>
        </w:rPr>
        <w:t xml:space="preserve">Cross-Disciplinary Education:</w:t>
      </w:r>
      <w:r>
        <w:t xml:space="preserve"> </w:t>
      </w:r>
      <w:r>
        <w:t xml:space="preserve">Political science curricula should integrate modules on engineering, environmental science, and data analytics.</w:t>
      </w:r>
    </w:p>
    <w:p>
      <w:pPr>
        <w:numPr>
          <w:ilvl w:val="0"/>
          <w:numId w:val="1002"/>
        </w:numPr>
        <w:pStyle w:val="Compact"/>
      </w:pPr>
      <w:r>
        <w:rPr>
          <w:bCs/>
          <w:b/>
        </w:rPr>
        <w:t xml:space="preserve">Ethical Frameworks for Technology:</w:t>
      </w:r>
      <w:r>
        <w:t xml:space="preserve"> </w:t>
      </w:r>
      <w:r>
        <w:t xml:space="preserve">Develop robust guidelines for AI usage in government to prevent bias and ensure privacy.</w:t>
      </w:r>
    </w:p>
    <w:p>
      <w:pPr>
        <w:numPr>
          <w:ilvl w:val="0"/>
          <w:numId w:val="1002"/>
        </w:numPr>
        <w:pStyle w:val="Compact"/>
      </w:pPr>
      <w:r>
        <w:rPr>
          <w:bCs/>
          <w:b/>
        </w:rPr>
        <w:t xml:space="preserve">Cultural Sensitivity Training:</w:t>
      </w:r>
      <w:r>
        <w:t xml:space="preserve"> </w:t>
      </w:r>
      <w:r>
        <w:t xml:space="preserve">As Qatar Doha attracts a diverse expatriate population, politicians must be trained to foster inclusivity while respecting core national values.</w:t>
      </w:r>
    </w:p>
    <w:bookmarkEnd w:id="29"/>
    <w:bookmarkStart w:id="30" w:name="conclusion"/>
    <w:p>
      <w:pPr>
        <w:pStyle w:val="Heading2"/>
      </w:pPr>
      <w:r>
        <w:t xml:space="preserve">7. Conclusion</w:t>
      </w:r>
    </w:p>
    <w:p>
      <w:pPr>
        <w:pStyle w:val="FirstParagraph"/>
      </w:pPr>
      <w:r>
        <w:t xml:space="preserve">The politician of the future in Qatar Doha cannot rely solely on traditional authority or administrative experience. They must be hybrid leaders: part diplomat, part technologist, and part cultural guardian. The trajectory of Qatar Doho demonstrates that progress and tradition are not mutually exclusive; rather, they are complementary forces when managed by skilled leadership.</w:t>
      </w:r>
    </w:p>
    <w:p>
      <w:pPr>
        <w:pStyle w:val="BodyText"/>
      </w:pPr>
      <w:r>
        <w:t xml:space="preserve">As the world watches this region evolve, the lessons learned from political development in Qatar Doha will be invaluable. By embracing innovation while honoring heritage, politicians can ensure sustainable prosperity for their citizens. This paper calls for a reimagining of political education and practice to meet these unique demands, ensuring that leaders are equipped to handle the multifaceted challenges of the 21st century.</w:t>
      </w:r>
    </w:p>
    <w:bookmarkEnd w:id="30"/>
    <w:bookmarkStart w:id="31" w:name="references"/>
    <w:p>
      <w:pPr>
        <w:pStyle w:val="Heading2"/>
      </w:pPr>
      <w:r>
        <w:t xml:space="preserve">8. References</w:t>
      </w:r>
    </w:p>
    <w:p>
      <w:pPr>
        <w:pStyle w:val="FirstParagraph"/>
      </w:pPr>
      <w:r>
        <w:rPr>
          <w:iCs/>
          <w:i/>
        </w:rPr>
        <w:t xml:space="preserve">(Note: In a formal submission, this section would contain detailed citations from academic journals, government white papers on Qatar National Vision 2030, and reports from international urban governance bodies.)</w:t>
      </w:r>
    </w:p>
    <w:p>
      <w:pPr>
        <w:pStyle w:val="BodyText"/>
      </w:pPr>
      <w:r>
        <w:br/>
      </w:r>
    </w:p>
    <w:p>
      <w:pPr>
        <w:numPr>
          <w:ilvl w:val="0"/>
          <w:numId w:val="1003"/>
        </w:numPr>
        <w:pStyle w:val="Compact"/>
      </w:pPr>
      <w:r>
        <w:t xml:space="preserve">1. Ministry of Planning and Statistics, Qatar. "Qatar National Development Framework."</w:t>
      </w:r>
    </w:p>
    <w:p>
      <w:pPr>
        <w:numPr>
          <w:ilvl w:val="0"/>
          <w:numId w:val="1003"/>
        </w:numPr>
        <w:pStyle w:val="Compact"/>
      </w:pPr>
      <w:r>
        <w:t xml:space="preserve">2. Al-Mansouri, A. (2019). "Governance and Modernization in the Gulf." Journal of Middle Eastern Politics.</w:t>
      </w:r>
    </w:p>
    <w:p>
      <w:pPr>
        <w:numPr>
          <w:ilvl w:val="0"/>
          <w:numId w:val="1003"/>
        </w:numPr>
        <w:pStyle w:val="Compact"/>
      </w:pPr>
      <w:r>
        <w:t xml:space="preserve">3. United Nations Human Settlements Programme (UN-Habitat). "Smart City Guidelines for Arab Cities."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A Case Study for Qatar Doha</dc:title>
  <dc:creator/>
  <dc:language>en</dc:language>
  <cp:keywords/>
  <dcterms:created xsi:type="dcterms:W3CDTF">2026-07-29T17:38:36Z</dcterms:created>
  <dcterms:modified xsi:type="dcterms:W3CDTF">2026-07-29T17:38:36Z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