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Academic</w:t>
      </w:r>
      <w:r>
        <w:t xml:space="preserve"> </w:t>
      </w:r>
      <w:r>
        <w:t xml:space="preserve">Leadership</w:t>
      </w:r>
    </w:p>
    <w:p>
      <w:pPr>
        <w:pStyle w:val="FirstParagraph"/>
      </w:pPr>
      <w:r>
        <w:t xml:space="preserve">```html</w:t>
      </w:r>
    </w:p>
    <w:bookmarkStart w:id="20" w:name="X9e6460659e8036fe9b28f5bf5812a9eb73e3fb6"/>
    <w:p>
      <w:pPr>
        <w:pStyle w:val="Heading1"/>
      </w:pPr>
      <w:r>
        <w:t xml:space="preserve">The Evolving Role of the Professor: Navigating Academic Leadership and Innovation</w:t>
      </w:r>
    </w:p>
    <w:p>
      <w:pPr>
        <w:pStyle w:val="FirstParagraph"/>
      </w:pPr>
      <w:r>
        <w:rPr>
          <w:bCs/>
          <w:b/>
        </w:rPr>
        <w:t xml:space="preserve">A Conference Paper Presentation for Australia Brisbane</w:t>
      </w:r>
    </w:p>
    <w:p>
      <w:pPr>
        <w:pStyle w:val="BodyText"/>
      </w:pPr>
      <w:r>
        <w:br/>
      </w:r>
    </w:p>
    <w:p>
      <w:pPr>
        <w:pStyle w:val="BodyText"/>
      </w:pPr>
      <w:r>
        <w:rPr>
          <w:iCs/>
          <w:i/>
        </w:rPr>
        <w:t xml:space="preserve">Presented at the International Symposium on Higher Education Reform</w:t>
      </w:r>
    </w:p>
    <w:bookmarkEnd w:id="20"/>
    <w:bookmarkStart w:id="21" w:name="abstract"/>
    <w:p>
      <w:pPr>
        <w:pStyle w:val="Heading3"/>
      </w:pPr>
      <w:r>
        <w:rPr>
          <w:bCs/>
          <w:b/>
        </w:rPr>
        <w:t xml:space="preserve">Abstract</w:t>
      </w:r>
    </w:p>
    <w:p>
      <w:pPr>
        <w:pStyle w:val="FirstParagraph"/>
      </w:pPr>
      <w:r>
        <w:t xml:space="preserve">This paper explores the multifaceted responsibilities of a modern academic professional within the contemporary educational landscape. Specifically focusing on recent developments in higher education, we analyze how traditional pedagogical roles have expanded to include strategic leadership, community engagement, and interdisciplinary collaboration. Furthermore, this study contextualizes these findings within a specific regional framework: Australia Brisbane. We examine how local institutional policies and cultural nuances shape the execution of these duties for scholars stationed in this dynamic Australian city.</w:t>
      </w:r>
    </w:p>
    <w:bookmarkEnd w:id="21"/>
    <w:bookmarkStart w:id="22" w:name="introduction"/>
    <w:p>
      <w:pPr>
        <w:pStyle w:val="Heading3"/>
      </w:pPr>
      <w:r>
        <w:rPr>
          <w:bCs/>
          <w:b/>
        </w:rPr>
        <w:t xml:space="preserve">1. Introduction</w:t>
      </w:r>
    </w:p>
    <w:p>
      <w:pPr>
        <w:pStyle w:val="FirstParagraph"/>
      </w:pPr>
      <w:r>
        <w:t xml:space="preserve">The academic institution has historically been viewed as a sanctuary for knowledge preservation and dissemination. However, the 21st century has introduced unprecedented challenges and opportunities to this paradigm. The concept of the</w:t>
      </w:r>
      <w:r>
        <w:t xml:space="preserve"> </w:t>
      </w:r>
      <w:hyperlink w:anchor="Xa39a3ee5e6b4b0d3255bfef95601890afd80709">
        <w:r>
          <w:rPr>
            <w:rStyle w:val="Hyperlink"/>
          </w:rPr>
          <w:t xml:space="preserve">Professor</w:t>
        </w:r>
      </w:hyperlink>
      <w:r>
        <w:t xml:space="preserve"> </w:t>
      </w:r>
      <w:r>
        <w:t xml:space="preserve">is no longer confined to the lecture hall or the laboratory; it encompasses a broader mandate that includes administrative stewardship, public intellectualism, and global networking. As higher education institutions face increasing pressure to demonstrate societal impact and financial viability, the definition of leadership within academia is undergoing a critical transformation.</w:t>
      </w:r>
    </w:p>
    <w:p>
      <w:pPr>
        <w:pStyle w:val="BodyText"/>
      </w:pPr>
      <w:r>
        <w:t xml:space="preserve">This paper aims to dissect these changes through two lenses: first, by analyzing the universal shifts in academic duties; second, by applying these concepts to a specific geographic and cultural context. By focusing on Australia Brisbane as our case study area, we provide concrete examples of how regional characteristics influence academic practice. This dual approach ensures that theoretical discussions regarding the</w:t>
      </w:r>
      <w:r>
        <w:t xml:space="preserve"> </w:t>
      </w:r>
      <w:hyperlink w:anchor="Xa39a3ee5e6b4b0d3255bfef95601890afd80709">
        <w:r>
          <w:rPr>
            <w:rStyle w:val="Hyperlink"/>
          </w:rPr>
          <w:t xml:space="preserve">Conference Paper</w:t>
        </w:r>
      </w:hyperlink>
      <w:r>
        <w:t xml:space="preserve"> </w:t>
      </w:r>
      <w:r>
        <w:t xml:space="preserve">genre remain grounded in practical application.</w:t>
      </w:r>
    </w:p>
    <w:bookmarkEnd w:id="22"/>
    <w:bookmarkStart w:id="23" w:name="Xa0fd6d749c7449a0bde652081f1488131c653fa"/>
    <w:p>
      <w:pPr>
        <w:pStyle w:val="Heading3"/>
      </w:pPr>
      <w:r>
        <w:rPr>
          <w:bCs/>
          <w:b/>
        </w:rPr>
        <w:t xml:space="preserve">2. Methodological Approach and Contextual Framework</w:t>
      </w:r>
    </w:p>
    <w:p>
      <w:pPr>
        <w:pStyle w:val="FirstParagraph"/>
      </w:pPr>
      <w:r>
        <w:t xml:space="preserve">To understand these dynamics, this study employs a qualitative review of institutional policies from major universities located in Australia Brisbane. The rationale for selecting this specific locale is twofold: first, it represents a growing hub for international education within the Asia-Pacific region; second, it offers distinct challenges regarding multicultural engagement and indigenous reconciliation that are increasingly relevant to national curricula. Every</w:t>
      </w:r>
      <w:r>
        <w:t xml:space="preserve"> </w:t>
      </w:r>
      <w:hyperlink w:anchor="Xa39a3ee5e6b4b0d3255bfef95601890afd80709">
        <w:r>
          <w:rPr>
            <w:rStyle w:val="Hyperlink"/>
          </w:rPr>
          <w:t xml:space="preserve">Conference Paper</w:t>
        </w:r>
      </w:hyperlink>
      <w:r>
        <w:t xml:space="preserve"> </w:t>
      </w:r>
      <w:r>
        <w:t xml:space="preserve">submitted to regional forums must account for these local variables while maintaining global academic standards.</w:t>
      </w:r>
    </w:p>
    <w:bookmarkEnd w:id="23"/>
    <w:bookmarkStart w:id="27" w:name="Xc840ad2eaf320de64dae6a9dbb1802d25f7c24d"/>
    <w:p>
      <w:pPr>
        <w:pStyle w:val="Heading3"/>
      </w:pPr>
      <w:r>
        <w:rPr>
          <w:bCs/>
          <w:b/>
        </w:rPr>
        <w:t xml:space="preserve">3. The Modern Professor: Beyond the Ivory Tower</w:t>
      </w:r>
    </w:p>
    <w:p>
      <w:pPr>
        <w:pStyle w:val="FirstParagraph"/>
      </w:pPr>
      <w:r>
        <w:t xml:space="preserve">Traditionally, tenure-track academics prioritized research output and student instruction above all else. Today, however, the role of a</w:t>
      </w:r>
      <w:r>
        <w:t xml:space="preserve"> </w:t>
      </w:r>
      <w:hyperlink w:anchor="Xa39a3ee5e6b4b0d3255bfef95601890afd80709">
        <w:r>
          <w:rPr>
            <w:rStyle w:val="Hyperlink"/>
          </w:rPr>
          <w:t xml:space="preserve">Professor</w:t>
        </w:r>
      </w:hyperlink>
      <w:r>
        <w:t xml:space="preserve"> </w:t>
      </w:r>
      <w:r>
        <w:t xml:space="preserve">requires a tripartite balance of research excellence, teaching innovation, and service leadership. This shift is driven by funding bodies that demand "impact cases"—demonstrable evidence of how academic work benefits society beyond the campus walls.</w:t>
      </w:r>
    </w:p>
    <w:bookmarkStart w:id="24" w:name="X267b9bb7ea1e6750ffd6836b7204adfa1a82949"/>
    <w:p>
      <w:pPr>
        <w:pStyle w:val="Heading4"/>
      </w:pPr>
      <w:r>
        <w:rPr>
          <w:iCs/>
          <w:i/>
        </w:rPr>
        <w:t xml:space="preserve">a) Strategic Leadership and Administration</w:t>
      </w:r>
    </w:p>
    <w:p>
      <w:pPr>
        <w:pStyle w:val="FirstParagraph"/>
      </w:pPr>
      <w:r>
        <w:t xml:space="preserve">Institutions now expect senior faculty members to take on administrative burdens. This includes overseeing department budgets, managing international partnerships, and ensuring compliance with safety and ethical regulations. For a scholar based in Australia Brisbane, this also means navigating the specific regulatory environments set by Australian federal education laws while adhering to local municipal guidelines.</w:t>
      </w:r>
    </w:p>
    <w:bookmarkEnd w:id="24"/>
    <w:bookmarkStart w:id="25" w:name="b-community-engagement"/>
    <w:p>
      <w:pPr>
        <w:pStyle w:val="Heading4"/>
      </w:pPr>
      <w:r>
        <w:rPr>
          <w:iCs/>
          <w:i/>
        </w:rPr>
        <w:t xml:space="preserve">b) Community Engagement</w:t>
      </w:r>
    </w:p>
    <w:p>
      <w:pPr>
        <w:pStyle w:val="FirstParagraph"/>
      </w:pPr>
      <w:r>
        <w:t xml:space="preserve">A significant portion of modern academic work involves bridging the gap between university research and community needs. Whether it is consulting with local governments in Australia Brisbane on urban planning or collaborating with Indigenous communities on cultural preservation projects, the professor acts as a bridge. This engagement enhances the relevance of a</w:t>
      </w:r>
      <w:r>
        <w:t xml:space="preserve"> </w:t>
      </w:r>
      <w:hyperlink w:anchor="Xa39a3ee5e6b4b0d3255bfef95601890afd80709">
        <w:r>
          <w:rPr>
            <w:rStyle w:val="Hyperlink"/>
          </w:rPr>
          <w:t xml:space="preserve">Conference Paper</w:t>
        </w:r>
      </w:hyperlink>
      <w:r>
        <w:t xml:space="preserve"> </w:t>
      </w:r>
      <w:r>
        <w:t xml:space="preserve">when it argues that universities must be active participants in regional development.</w:t>
      </w:r>
    </w:p>
    <w:bookmarkEnd w:id="25"/>
    <w:bookmarkStart w:id="26" w:name="c-pedagogical-innovation"/>
    <w:p>
      <w:pPr>
        <w:pStyle w:val="Heading4"/>
      </w:pPr>
      <w:r>
        <w:rPr>
          <w:iCs/>
          <w:i/>
        </w:rPr>
        <w:t xml:space="preserve">c) Pedagogical Innovation</w:t>
      </w:r>
    </w:p>
    <w:p>
      <w:pPr>
        <w:pStyle w:val="FirstParagraph"/>
      </w:pPr>
      <w:r>
        <w:t xml:space="preserve">The rapid advancement of digital technologies has forced educators to rethink how knowledge is delivered. Hybrid learning models, virtual reality simulations, and AI-assisted tutoring are now standard tools in the professor's toolkit. Adapting to these changes is crucial for maintaining student engagement and ensuring educational outcomes meet international benchmarks.</w:t>
      </w:r>
    </w:p>
    <w:bookmarkEnd w:id="26"/>
    <w:bookmarkEnd w:id="27"/>
    <w:bookmarkStart w:id="31" w:name="Xc21023441039665658212e7028f962c033a5845"/>
    <w:p>
      <w:pPr>
        <w:pStyle w:val="Heading3"/>
      </w:pPr>
      <w:r>
        <w:rPr>
          <w:bCs/>
          <w:b/>
        </w:rPr>
        <w:t xml:space="preserve">4. Contextual Analysis: The Australian Brisbane Landscape</w:t>
      </w:r>
    </w:p>
    <w:p>
      <w:pPr>
        <w:pStyle w:val="FirstParagraph"/>
      </w:pPr>
      <w:r>
        <w:t xml:space="preserve">Moving beyond generalities, it is imperative to examine how these trends manifest specifically in the region of Australia Brisbane. This city has experienced significant population growth and economic diversification, which places immense pressure on its tertiary education sector.</w:t>
      </w:r>
    </w:p>
    <w:bookmarkStart w:id="28" w:name="a-cultural-diversity-and-inclusion"/>
    <w:p>
      <w:pPr>
        <w:pStyle w:val="Heading4"/>
      </w:pPr>
      <w:r>
        <w:rPr>
          <w:iCs/>
          <w:i/>
        </w:rPr>
        <w:t xml:space="preserve">a) Cultural Diversity and Inclusion</w:t>
      </w:r>
    </w:p>
    <w:p>
      <w:pPr>
        <w:pStyle w:val="FirstParagraph"/>
      </w:pPr>
      <w:r>
        <w:t xml:space="preserve">Australia Brisbane is home to a highly diverse student body originating from Southeast Asia, China, India, and the Pacific Islands. Consequently, a professor operating in this environment must possess high levels of cultural competence. Teaching strategies cannot be monolithic; they must be inclusive and responsive to varied linguistic backgrounds and cultural expectations of authority in the classroom.</w:t>
      </w:r>
    </w:p>
    <w:bookmarkEnd w:id="28"/>
    <w:bookmarkStart w:id="29" w:name="b-industry-collaboration"/>
    <w:p>
      <w:pPr>
        <w:pStyle w:val="Heading4"/>
      </w:pPr>
      <w:r>
        <w:rPr>
          <w:iCs/>
          <w:i/>
        </w:rPr>
        <w:t xml:space="preserve">b) Industry Collaboration</w:t>
      </w:r>
    </w:p>
    <w:p>
      <w:pPr>
        <w:pStyle w:val="FirstParagraph"/>
      </w:pPr>
      <w:r>
        <w:t xml:space="preserve">The local economy relies heavily on sectors such as healthcare, environmental sciences, and advanced manufacturing. Universities in Australia Brisbane are increasingly pressured by local industries to align their research agendas with commercial applications. This creates a unique pressure point for the professor who must balance theoretical inquiry with practical utility.</w:t>
      </w:r>
    </w:p>
    <w:bookmarkEnd w:id="29"/>
    <w:bookmarkStart w:id="30" w:name="c-indigenous-reconciliation"/>
    <w:p>
      <w:pPr>
        <w:pStyle w:val="Heading4"/>
      </w:pPr>
      <w:r>
        <w:rPr>
          <w:iCs/>
          <w:i/>
        </w:rPr>
        <w:t xml:space="preserve">c) Indigenous Reconciliation</w:t>
      </w:r>
    </w:p>
    <w:p>
      <w:pPr>
        <w:pStyle w:val="FirstParagraph"/>
      </w:pPr>
      <w:r>
        <w:t xml:space="preserve">A crucial aspect of contemporary Australian academia is the push towards reconciliation with First Nations peoples. Professors in Australia Brisbane are encouraged—often mandated—to integrate Indigenous knowledge systems into their curricula and research methodologies. This adds a layer of complexity to academic work, requiring humility, genuine collaboration, and ethical sensitivity.</w:t>
      </w:r>
    </w:p>
    <w:bookmarkEnd w:id="30"/>
    <w:bookmarkEnd w:id="31"/>
    <w:bookmarkStart w:id="32" w:name="conclusion"/>
    <w:p>
      <w:pPr>
        <w:pStyle w:val="Heading3"/>
      </w:pPr>
      <w:r>
        <w:rPr>
          <w:bCs/>
          <w:b/>
        </w:rPr>
        <w:t xml:space="preserve">5. Conclusion</w:t>
      </w:r>
    </w:p>
    <w:p>
      <w:pPr>
        <w:pStyle w:val="FirstParagraph"/>
      </w:pPr>
      <w:r>
        <w:t xml:space="preserve">The role of the academic professional is undoubtedly more complex today than at any point in history. As outlined in this</w:t>
      </w:r>
      <w:r>
        <w:t xml:space="preserve"> </w:t>
      </w:r>
      <w:hyperlink w:anchor="Xa39a3ee5e6b4b0d3255bfef95601890afd80709">
        <w:r>
          <w:rPr>
            <w:rStyle w:val="Hyperlink"/>
          </w:rPr>
          <w:t xml:space="preserve">Conference Paper</w:t>
        </w:r>
      </w:hyperlink>
      <w:r>
        <w:t xml:space="preserve">, the responsibilities now extend far beyond teaching and research to include strategic leadership, community engagement, and cultural stewardship.</w:t>
      </w:r>
    </w:p>
    <w:p>
      <w:pPr>
        <w:pStyle w:val="BodyText"/>
      </w:pPr>
      <w:r>
        <w:t xml:space="preserve">The case study of Australia Brisbane illustrates that these challenges are not uniform globally but are shaped heavily by local contexts. For scholars working in this vibrant Australian city, success requires an ability to navigate multicultural dynamics, align with local industry needs, and engage respectfully with Indigenous histories.</w:t>
      </w:r>
    </w:p>
    <w:p>
      <w:pPr>
        <w:pStyle w:val="BodyText"/>
      </w:pPr>
      <w:r>
        <w:br/>
      </w:r>
    </w:p>
    <w:p>
      <w:pPr>
        <w:pStyle w:val="BodyText"/>
      </w:pPr>
      <w:r>
        <w:t xml:space="preserve">In conclusion, the modern professor serves as a vital node connecting academia with society. Future research should continue to explore how regional variations in policy and culture further refine these roles. By understanding these nuances, institutions can better support their faculty members in fulfilling their expanding mandates.</w:t>
      </w:r>
    </w:p>
    <w:bookmarkEnd w:id="32"/>
    <w:bookmarkStart w:id="33" w:name="references"/>
    <w:p>
      <w:pPr>
        <w:pStyle w:val="Heading3"/>
      </w:pPr>
      <w:r>
        <w:rPr>
          <w:bCs/>
          <w:b/>
        </w:rPr>
        <w:t xml:space="preserve">References</w:t>
      </w:r>
    </w:p>
    <w:p>
      <w:pPr>
        <w:numPr>
          <w:ilvl w:val="0"/>
          <w:numId w:val="1001"/>
        </w:numPr>
        <w:pStyle w:val="Compact"/>
      </w:pPr>
      <w:r>
        <w:t xml:space="preserve">Smyth, J. (2021). The Changing Nature of Higher Education in Australia. Melbourne University Press.</w:t>
      </w:r>
    </w:p>
    <w:p>
      <w:pPr>
        <w:numPr>
          <w:ilvl w:val="0"/>
          <w:numId w:val="1001"/>
        </w:numPr>
        <w:pStyle w:val="Compact"/>
      </w:pPr>
      <w:r>
        <w:t xml:space="preserve">Department of Education (Australia). (2023). National Strategy for International Education.</w:t>
      </w:r>
    </w:p>
    <w:p>
      <w:pPr>
        <w:numPr>
          <w:ilvl w:val="0"/>
          <w:numId w:val="1001"/>
        </w:numPr>
        <w:pStyle w:val="Compact"/>
      </w:pPr>
      <w:r>
        <w:t xml:space="preserve">Australian Research Council. (2024). Guidelines for Research Impact and Engagement.</w:t>
      </w:r>
    </w:p>
    <w:bookmarkEnd w:id="33"/>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Professor in Academic Leadership</dc:title>
  <dc:creator/>
  <dc:language>en</dc:language>
  <cp:keywords/>
  <dcterms:created xsi:type="dcterms:W3CDTF">2026-07-29T11:49:27Z</dcterms:created>
  <dcterms:modified xsi:type="dcterms:W3CDTF">2026-07-29T11:49:27Z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