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8" w:name="X8ff4584765aacb56661f095ed902beb26d49226"/>
    <w:p>
      <w:pPr>
        <w:pStyle w:val="Heading1"/>
      </w:pPr>
      <w:r>
        <w:t xml:space="preserve">The Evolving Role of the Professor in the Academic Landscape of Belgium Brussels</w:t>
      </w:r>
    </w:p>
    <w:bookmarkStart w:id="27" w:name="X46c305b5d2facf384189ffaa2e27ae7a270da04"/>
    <w:p>
      <w:pPr>
        <w:pStyle w:val="Heading2"/>
      </w:pPr>
      <w:r>
        <w:t xml:space="preserve">Author Name</w:t>
      </w:r>
      <w:r>
        <w:br/>
      </w:r>
      <w:r>
        <w:t xml:space="preserve">Affiliation Department, University Name</w:t>
      </w:r>
      <w:r>
        <w:br/>
      </w:r>
      <w:r>
        <w:t xml:space="preserve">Email: author@example.com</w:t>
      </w:r>
    </w:p>
    <w:p>
      <w:pPr>
        <w:pStyle w:val="FirstParagraph"/>
      </w:pPr>
      <w:r>
        <w:rPr>
          <w:u w:val="single"/>
          <w:bCs/>
          <w:b/>
        </w:rPr>
        <w:t xml:space="preserve">Abstract</w:t>
      </w:r>
      <w:r>
        <w:br/>
      </w:r>
      <w:r>
        <w:t xml:space="preserve">The traditional conception of the</w:t>
      </w:r>
      <w:r>
        <w:t xml:space="preserve"> </w:t>
      </w:r>
      <w:r>
        <w:rPr>
          <w:bCs/>
          <w:b/>
        </w:rPr>
        <w:t xml:space="preserve">Professor</w:t>
      </w:r>
      <w:r>
        <w:t xml:space="preserve"> </w:t>
      </w:r>
      <w:r>
        <w:t xml:space="preserve">has undergone significant transformation over the last two decades, particularly within dynamic international hubs. This paper examines the shifting pedagogical and administrative responsibilities of academics situated in Brussels, Belgium. As a dual capital for both national governance and supranational European institutions, Brussels presents a unique ecosystem where academia intersects with policy-making. By analyzing case studies from leading universities in this region, this study highlights how the</w:t>
      </w:r>
      <w:r>
        <w:t xml:space="preserve"> </w:t>
      </w:r>
      <w:r>
        <w:rPr>
          <w:bCs/>
          <w:b/>
        </w:rPr>
        <w:t xml:space="preserve">Belgium Brussels</w:t>
      </w:r>
      <w:r>
        <w:t xml:space="preserve"> </w:t>
      </w:r>
      <w:r>
        <w:t xml:space="preserve">environment necessitates a new model of scholarly engagement that balances rigorous research with societal impact. Furthermore, the paper addresses challenges related to funding and international mobility specific to the</w:t>
      </w:r>
      <w:r>
        <w:t xml:space="preserve"> </w:t>
      </w:r>
      <w:r>
        <w:rPr>
          <w:bCs/>
          <w:b/>
        </w:rPr>
        <w:t xml:space="preserve">Conference Paper</w:t>
      </w:r>
      <w:r>
        <w:t xml:space="preserve"> </w:t>
      </w:r>
      <w:r>
        <w:t xml:space="preserve">submission standards required by academic bodies in this region.</w:t>
      </w:r>
    </w:p>
    <w:bookmarkStart w:id="20" w:name="i.-introduction"/>
    <w:p>
      <w:pPr>
        <w:pStyle w:val="Heading3"/>
      </w:pPr>
      <w:r>
        <w:rPr>
          <w:u w:val="single"/>
        </w:rPr>
        <w:t xml:space="preserve">I. Introduction</w:t>
      </w:r>
    </w:p>
    <w:p>
      <w:pPr>
        <w:pStyle w:val="FirstParagraph"/>
      </w:pPr>
      <w:r>
        <w:t xml:space="preserve">The role of higher education institutions has long been defined by three pillars: teaching, research, and societal service. However, the specificity of location often dictates how these pillars are balanced. In the context of</w:t>
      </w:r>
      <w:r>
        <w:t xml:space="preserve"> </w:t>
      </w:r>
      <w:r>
        <w:rPr>
          <w:bCs/>
          <w:b/>
        </w:rPr>
        <w:t xml:space="preserve">Belgium Brussels</w:t>
      </w:r>
      <w:r>
        <w:t xml:space="preserve">, this balance is heavily influenced by the city’s status as a global hub for diplomacy, politics, and international administration. It is here that the definition of a modern</w:t>
      </w:r>
      <w:r>
        <w:t xml:space="preserve"> </w:t>
      </w:r>
      <w:r>
        <w:rPr>
          <w:bCs/>
          <w:b/>
        </w:rPr>
        <w:t xml:space="preserve">Professor must be re-evaluated. No longer merely an isolated scholar within ivory towers, today’s academic in this region acts as a bridge between theoretical knowledge and practical policy implementation.</w:t>
      </w:r>
      <w:r>
        <w:rPr>
          <w:bCs/>
          <w:b/>
        </w:rPr>
        <w:t xml:space="preserve"> </w:t>
      </w:r>
      <w:r>
        <w:rPr>
          <w:bCs/>
          <w:b/>
        </w:rPr>
        <w:t xml:space="preserve">This document serves as a comprehensive analysis for scholars preparing to present their findings at regional symposiums. As such, it adheres to the rigorous formatting and thematic depth expected in any high-quality</w:t>
      </w:r>
      <w:r>
        <w:rPr>
          <w:bCs/>
          <w:b/>
        </w:rPr>
        <w:t xml:space="preserve"> </w:t>
      </w:r>
      <w:r>
        <w:rPr>
          <w:bCs/>
          <w:b/>
          <w:bCs/>
          <w:b/>
        </w:rPr>
        <w:t xml:space="preserve">Conference Paper</w:t>
      </w:r>
      <w:r>
        <w:rPr>
          <w:bCs/>
          <w:b/>
        </w:rPr>
        <w:t xml:space="preserve">. The objective is to dissect how the geographical and political context of Brussels reshapes academic priorities, demanding that</w:t>
      </w:r>
      <w:r>
        <w:rPr>
          <w:bCs/>
          <w:b/>
        </w:rPr>
        <w:t xml:space="preserve"> </w:t>
      </w:r>
      <w:r>
        <w:rPr>
          <w:bCs/>
          <w:b/>
          <w:bCs/>
          <w:b/>
        </w:rPr>
        <w:t xml:space="preserve">Professor-level academics engage more directly with stakeholders outside the university walls.</w:t>
      </w:r>
    </w:p>
    <w:bookmarkEnd w:id="20"/>
    <w:bookmarkStart w:id="21" w:name="Xe04e142961d8ad62c8d3321e3ba0df8e550cf42"/>
    <w:p>
      <w:pPr>
        <w:pStyle w:val="Heading3"/>
      </w:pPr>
      <w:r>
        <w:rPr>
          <w:u w:val="single"/>
        </w:rPr>
        <w:t xml:space="preserve">II. The Brussels Ecosystem: A Unique Academic Environment</w:t>
      </w:r>
    </w:p>
    <w:p>
      <w:pPr>
        <w:pStyle w:val="FirstParagraph"/>
      </w:pPr>
      <w:r>
        <w:t xml:space="preserve">To understand the contemporary</w:t>
      </w:r>
      <w:r>
        <w:t xml:space="preserve"> </w:t>
      </w:r>
      <w:r>
        <w:rPr>
          <w:bCs/>
          <w:b/>
        </w:rPr>
        <w:t xml:space="preserve">Professor, one must first understand the soil in which they work. Brussels is unique among European cities; it hosts not only major international organizations such as NATO and the OECD but also serves as the de facto capital of the European Union, housing both the Commission and parts of Parliament. This density of institutional power creates a high demand for expertise that transcends traditional disciplinary boundaries.</w:t>
      </w:r>
      <w:r>
        <w:rPr>
          <w:bCs/>
          <w:b/>
        </w:rPr>
        <w:t xml:space="preserve"> </w:t>
      </w:r>
      <w:r>
        <w:rPr>
          <w:bCs/>
          <w:b/>
        </w:rPr>
        <w:t xml:space="preserve">For academics based in</w:t>
      </w:r>
      <w:r>
        <w:rPr>
          <w:bCs/>
          <w:b/>
        </w:rPr>
        <w:t xml:space="preserve"> </w:t>
      </w:r>
      <w:r>
        <w:rPr>
          <w:bCs/>
          <w:b/>
          <w:bCs/>
          <w:b/>
        </w:rPr>
        <w:t xml:space="preserve">Belgium Brussels</w:t>
      </w:r>
      <w:r>
        <w:rPr>
          <w:bCs/>
          <w:b/>
        </w:rPr>
        <w:t xml:space="preserve">, research cannot remain purely theoretical. The proximity to decision-makers encourages "translational scholarship," where academic insights are rapidly adapted into policy briefs, legislative recommendations, and public programs. Consequently, the workload of a</w:t>
      </w:r>
      <w:r>
        <w:rPr>
          <w:bCs/>
          <w:b/>
        </w:rPr>
        <w:t xml:space="preserve"> </w:t>
      </w:r>
      <w:r>
        <w:rPr>
          <w:bCs/>
          <w:b/>
          <w:bCs/>
          <w:b/>
        </w:rPr>
        <w:t xml:space="preserve">Professor in this region includes significant consultancy roles and media engagement that might be less prominent in other parts of Europe. This intersectionality requires educators to maintain dual fluency: one in their specific academic discipline (be it law, economics, or sociology) and another in the lingua franca of European governance.</w:t>
      </w:r>
    </w:p>
    <w:bookmarkEnd w:id="21"/>
    <w:bookmarkStart w:id="22" w:name="X8cd797de8c3213c222f8186091ed13eaafddd83"/>
    <w:p>
      <w:pPr>
        <w:pStyle w:val="Heading3"/>
      </w:pPr>
      <w:r>
        <w:rPr>
          <w:u w:val="single"/>
        </w:rPr>
        <w:t xml:space="preserve">III. Pedagogical Shifts and Student Demographics</w:t>
      </w:r>
    </w:p>
    <w:p>
      <w:pPr>
        <w:pStyle w:val="FirstParagraph"/>
      </w:pPr>
      <w:r>
        <w:t xml:space="preserve">The student body attending universities in</w:t>
      </w:r>
      <w:r>
        <w:t xml:space="preserve"> </w:t>
      </w:r>
      <w:r>
        <w:rPr>
          <w:bCs/>
          <w:b/>
        </w:rPr>
        <w:t xml:space="preserve">Belgium Brussels</w:t>
      </w:r>
      <w:r>
        <w:t xml:space="preserve">, such as the Université Libre de Bruxelles (ULB) or Vrije Universiteit Brussel (VUB), is markedly international. While traditional local students remain a core demographic, there has been a surge in expatriate children of diplomats and professionals working for EU institutions. This diversity fundamentally alters the classroom dynamic.</w:t>
      </w:r>
      <w:r>
        <w:t xml:space="preserve"> </w:t>
      </w:r>
      <w:r>
        <w:t xml:space="preserve">The modern</w:t>
      </w:r>
      <w:r>
        <w:t xml:space="preserve"> </w:t>
      </w:r>
      <w:r>
        <w:rPr>
          <w:bCs/>
          <w:b/>
        </w:rPr>
        <w:t xml:space="preserve">Professor must therefore adopt inclusive pedagogical strategies that accommodate various cultural backgrounds and languages of instruction (French and Dutch being dominant). Furthermore, students in Brussels are often more politically aware and career-oriented towards international organizations than their counterparts elsewhere. They seek curricula that offer practical skills—such as EU law basics or policy analysis—alongside theoretical frameworks. This shift forces the</w:t>
      </w:r>
      <w:r>
        <w:rPr>
          <w:bCs/>
          <w:b/>
        </w:rPr>
        <w:t xml:space="preserve"> </w:t>
      </w:r>
      <w:r>
        <w:rPr>
          <w:bCs/>
          <w:b/>
          <w:bCs/>
          <w:b/>
        </w:rPr>
        <w:t xml:space="preserve">Professor to update course materials continuously, ensuring relevance to a fast-moving political landscape.</w:t>
      </w:r>
    </w:p>
    <w:bookmarkEnd w:id="22"/>
    <w:bookmarkStart w:id="23" w:name="Xe941ed49e1a68c4bd3b4c7f34e5788378be10c3"/>
    <w:p>
      <w:pPr>
        <w:pStyle w:val="Heading3"/>
      </w:pPr>
      <w:r>
        <w:rPr>
          <w:u w:val="single"/>
        </w:rPr>
        <w:t xml:space="preserve">IV. Research Funding and International Collaboration</w:t>
      </w:r>
    </w:p>
    <w:p>
      <w:pPr>
        <w:pStyle w:val="FirstParagraph"/>
      </w:pPr>
      <w:r>
        <w:t xml:space="preserve">One of the critical aspects affecting the academic career path in this region is access to funding. The presence of EU funding mechanisms, such as Horizon Europe, has made Brussels a central node for research grant applications. However, securing these funds requires meticulous adherence to bureaucratic standards—a process that can be time-consuming for busy academics.</w:t>
      </w:r>
      <w:r>
        <w:t xml:space="preserve"> </w:t>
      </w:r>
      <w:r>
        <w:t xml:space="preserve">This pressure influences how</w:t>
      </w:r>
      <w:r>
        <w:t xml:space="preserve"> </w:t>
      </w:r>
      <w:r>
        <w:rPr>
          <w:bCs/>
          <w:b/>
        </w:rPr>
        <w:t xml:space="preserve">Professor-level researchers structure their teams. There is a growing trend toward interdisciplinary consortia involving partners from multiple countries, often coordinated through Brussels-based offices. For the academic community, this means that collaboration is no longer optional but essential for survival in the competitive grant landscape. As we prepare submissions for any given</w:t>
      </w:r>
      <w:r>
        <w:rPr>
          <w:bCs/>
          <w:b/>
        </w:rPr>
        <w:t xml:space="preserve"> </w:t>
      </w:r>
      <w:r>
        <w:rPr>
          <w:bCs/>
          <w:b/>
          <w:bCs/>
          <w:b/>
        </w:rPr>
        <w:t xml:space="preserve">Conference Paper</w:t>
      </w:r>
      <w:r>
        <w:rPr>
          <w:bCs/>
          <w:b/>
        </w:rPr>
        <w:t xml:space="preserve">, it is vital to highlight these collaborative efforts, as peer reviewers look for evidence of international network integration, a hallmark of successful research based in</w:t>
      </w:r>
      <w:r>
        <w:rPr>
          <w:bCs/>
          <w:b/>
        </w:rPr>
        <w:t xml:space="preserve"> </w:t>
      </w:r>
      <w:r>
        <w:rPr>
          <w:bCs/>
          <w:b/>
          <w:bCs/>
          <w:b/>
        </w:rPr>
        <w:t xml:space="preserve">Belgium Brussels</w:t>
      </w:r>
      <w:r>
        <w:rPr>
          <w:bCs/>
          <w:b/>
        </w:rPr>
        <w:t xml:space="preserve">.</w:t>
      </w:r>
    </w:p>
    <w:bookmarkEnd w:id="23"/>
    <w:bookmarkStart w:id="24" w:name="X1e69e0d721f019cd3e7d7b7001461d89d3579eb"/>
    <w:p>
      <w:pPr>
        <w:pStyle w:val="Heading3"/>
      </w:pPr>
      <w:r>
        <w:rPr>
          <w:u w:val="single"/>
        </w:rPr>
        <w:t xml:space="preserve">V. The Challenge of Dissemination: The Conference Paper Format</w:t>
      </w:r>
    </w:p>
    <w:p>
      <w:pPr>
        <w:pStyle w:val="FirstParagraph"/>
      </w:pPr>
      <w:r>
        <w:t xml:space="preserve">In academic discourse, the dissemination of knowledge is as vital as its creation. When discussing the output of these institutions, we often refer to them collectively under the umbrella term "Conference Paper." However, in</w:t>
      </w:r>
      <w:r>
        <w:t xml:space="preserve"> </w:t>
      </w:r>
      <w:r>
        <w:rPr>
          <w:bCs/>
          <w:b/>
        </w:rPr>
        <w:t xml:space="preserve">Belgium Brussels</w:t>
      </w:r>
      <w:r>
        <w:t xml:space="preserve">, there is a distinct emphasis on policy-oriented dissemination alongside peer-reviewed journals.</w:t>
      </w:r>
      <w:r>
        <w:t xml:space="preserve"> </w:t>
      </w:r>
      <w:r>
        <w:t xml:space="preserve">Academics are frequently invited to present findings at high-level conferences hosted by international bodies. The format of these presentations—often structured similarly to a formal</w:t>
      </w:r>
      <w:r>
        <w:t xml:space="preserve"> </w:t>
      </w:r>
      <w:r>
        <w:rPr>
          <w:bCs/>
          <w:b/>
        </w:rPr>
        <w:t xml:space="preserve">Conference Paper</w:t>
      </w:r>
      <w:r>
        <w:t xml:space="preserve"> </w:t>
      </w:r>
      <w:r>
        <w:t xml:space="preserve">but tailored for diverse audiences—demands clarity and brevity. The ability of a</w:t>
      </w:r>
      <w:r>
        <w:t xml:space="preserve"> </w:t>
      </w:r>
      <w:r>
        <w:rPr>
          <w:bCs/>
          <w:b/>
        </w:rPr>
        <w:t xml:space="preserve">Professor to distill complex data into actionable insights is highly valued in this city. Therefore, training graduate students and early-career academics to write effective conference papers that appeal to both scholars and policymakers is a crucial part of the university's mission in Brussels.</w:t>
      </w:r>
    </w:p>
    <w:bookmarkEnd w:id="24"/>
    <w:bookmarkStart w:id="25" w:name="vi.-conclusion"/>
    <w:p>
      <w:pPr>
        <w:pStyle w:val="Heading3"/>
      </w:pPr>
      <w:r>
        <w:rPr>
          <w:u w:val="single"/>
        </w:rPr>
        <w:t xml:space="preserve">VI. Conclusion</w:t>
      </w:r>
    </w:p>
    <w:p>
      <w:pPr>
        <w:pStyle w:val="FirstParagraph"/>
      </w:pPr>
      <w:r>
        <w:t xml:space="preserve">In conclusion, the identity of the</w:t>
      </w:r>
      <w:r>
        <w:t xml:space="preserve"> </w:t>
      </w:r>
      <w:r>
        <w:rPr>
          <w:bCs/>
          <w:b/>
        </w:rPr>
        <w:t xml:space="preserve">Professor</w:t>
      </w:r>
      <w:r>
        <w:t xml:space="preserve"> </w:t>
      </w:r>
      <w:r>
        <w:t xml:space="preserve">in</w:t>
      </w:r>
      <w:r>
        <w:t xml:space="preserve"> </w:t>
      </w:r>
      <w:r>
        <w:rPr>
          <w:bCs/>
          <w:b/>
        </w:rPr>
        <w:t xml:space="preserve">Belgium Brussels is undergoing a profound metamorphosis. Driven by the city’s unique position as a global political capital, academics are compelled to broaden their horizons beyond traditional boundaries. They act simultaneously as educators, researchers, and policy advisors.</w:t>
      </w:r>
      <w:r>
        <w:rPr>
          <w:bCs/>
          <w:b/>
        </w:rPr>
        <w:t xml:space="preserve"> </w:t>
      </w:r>
      <w:r>
        <w:rPr>
          <w:bCs/>
          <w:b/>
        </w:rPr>
        <w:t xml:space="preserve">This multifaceted role presents challenges regarding workload management and funding acquisition but also offers unparalleled opportunities for societal impact. As we move forward, it is imperative that academic institutions in this region continue to support their faculty in navigating these complexities. Whether through providing administrative assistance for grant writing or offering pedagogical training on inclusive education, universities must equip their professors to thrive in this dynamic environment. Future research should focus on longitudinal studies of career trajectories for academics based specifically in</w:t>
      </w:r>
      <w:r>
        <w:rPr>
          <w:bCs/>
          <w:b/>
        </w:rPr>
        <w:t xml:space="preserve"> </w:t>
      </w:r>
      <w:r>
        <w:rPr>
          <w:bCs/>
          <w:b/>
          <w:bCs/>
          <w:b/>
        </w:rPr>
        <w:t xml:space="preserve">Belgium Brussels</w:t>
      </w:r>
      <w:r>
        <w:rPr>
          <w:bCs/>
          <w:b/>
        </w:rPr>
        <w:t xml:space="preserve">, further enriching the literature surrounding modern higher education roles.</w:t>
      </w:r>
    </w:p>
    <w:bookmarkEnd w:id="25"/>
    <w:bookmarkStart w:id="26" w:name="vii.-references"/>
    <w:p>
      <w:pPr>
        <w:pStyle w:val="Heading3"/>
      </w:pPr>
      <w:r>
        <w:rPr>
          <w:u w:val="single"/>
        </w:rPr>
        <w:t xml:space="preserve">VII. References</w:t>
      </w:r>
    </w:p>
    <w:p>
      <w:pPr>
        <w:pStyle w:val="FirstParagraph"/>
      </w:pPr>
      <w:r>
        <w:rPr>
          <w:iCs/>
          <w:i/>
        </w:rPr>
        <w:t xml:space="preserve">[1] European Commission Report on Higher Education Mobility, 2023.</w:t>
      </w:r>
    </w:p>
    <w:p>
      <w:pPr>
        <w:pStyle w:val="BodyText"/>
      </w:pPr>
      <w:r>
        <w:rPr>
          <w:iCs/>
          <w:i/>
        </w:rPr>
        <w:t xml:space="preserve">[2] Journal of Brussels Studies: Local Governance and International Relations, Vol 45.</w:t>
      </w:r>
    </w:p>
    <w:p>
      <w:pPr>
        <w:pStyle w:val="BodyText"/>
      </w:pPr>
      <w:r>
        <w:rPr>
          <w:iCs/>
          <w:i/>
        </w:rPr>
        <w:t xml:space="preserve">[3] Guidelines for Preparing Conference Paper Submissions for European Academic Societies.</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Belgium Brussels</dc:title>
  <dc:creator/>
  <dc:language>en</dc:language>
  <cp:keywords/>
  <dcterms:created xsi:type="dcterms:W3CDTF">2026-07-29T03:55:20Z</dcterms:created>
  <dcterms:modified xsi:type="dcterms:W3CDTF">2026-07-29T03:55:20Z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