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Digital</w:t>
      </w:r>
      <w:r>
        <w:t xml:space="preserve"> </w:t>
      </w:r>
      <w:r>
        <w:t xml:space="preserve">Pedagogy:</w:t>
      </w:r>
      <w:r>
        <w:t xml:space="preserve"> </w:t>
      </w:r>
      <w:r>
        <w:t xml:space="preserve">A</w:t>
      </w:r>
      <w:r>
        <w:t xml:space="preserve"> </w:t>
      </w:r>
      <w:r>
        <w:t xml:space="preserve">Perspective</w:t>
      </w:r>
      <w:r>
        <w:t xml:space="preserve"> </w:t>
      </w:r>
      <w:r>
        <w:t xml:space="preserve">from</w:t>
      </w:r>
      <w:r>
        <w:t xml:space="preserve"> </w:t>
      </w:r>
      <w:r>
        <w:t xml:space="preserve">France</w:t>
      </w:r>
      <w:r>
        <w:t xml:space="preserve"> </w:t>
      </w:r>
      <w:r>
        <w:t xml:space="preserve">Marseille</w:t>
      </w:r>
    </w:p>
    <w:bookmarkStart w:id="28" w:name="Xc539fec21bd5d694f650caf636dfcc866aba98d"/>
    <w:p>
      <w:pPr>
        <w:pStyle w:val="Heading1"/>
      </w:pPr>
      <w:r>
        <w:t xml:space="preserve">The Evolution of Academic Leadership in the Modern Era</w:t>
      </w:r>
    </w:p>
    <w:bookmarkStart w:id="27" w:name="X7c0bca3814ca76353c5ca9a70310b5014e51016"/>
    <w:p>
      <w:pPr>
        <w:pStyle w:val="Heading2"/>
      </w:pPr>
      <w:r>
        <w:t xml:space="preserve">A Conference Paper Presented at the International Symposium on Higher Education Innovation in France Marseille</w:t>
      </w:r>
    </w:p>
    <w:p>
      <w:pPr>
        <w:pStyle w:val="FirstParagraph"/>
      </w:pPr>
      <w:r>
        <w:rPr>
          <w:iCs/>
          <w:i/>
          <w:bCs/>
          <w:b/>
        </w:rPr>
        <w:t xml:space="preserve">Abstract:</w:t>
      </w:r>
      <w:r>
        <w:br/>
      </w:r>
      <w:r>
        <w:t xml:space="preserve">This conference paper explores the transformative role of the</w:t>
      </w:r>
      <w:r>
        <w:t xml:space="preserve"> </w:t>
      </w:r>
      <w:r>
        <w:rPr>
          <w:bCs/>
          <w:b/>
        </w:rPr>
        <w:t xml:space="preserve">Professor</w:t>
      </w:r>
      <w:r>
        <w:t xml:space="preserve"> </w:t>
      </w:r>
      <w:r>
        <w:t xml:space="preserve">within contemporary higher education institutions, specifically analyzing contextual challenges and opportunities within</w:t>
      </w:r>
      <w:r>
        <w:t xml:space="preserve"> </w:t>
      </w:r>
      <w:r>
        <w:rPr>
          <w:bCs/>
          <w:b/>
        </w:rPr>
        <w:t xml:space="preserve">France Marseille</w:t>
      </w:r>
      <w:r>
        <w:t xml:space="preserve">. As universities across Europe face increasing pressure to modernize curricula and integrate digital technologies, the academic leader must adapt their pedagogical approaches. This study utilizes qualitative data gathered during recent symposia held in</w:t>
      </w:r>
      <w:r>
        <w:t xml:space="preserve"> </w:t>
      </w:r>
      <w:r>
        <w:rPr>
          <w:bCs/>
          <w:b/>
        </w:rPr>
        <w:t xml:space="preserve">France Marseille</w:t>
      </w:r>
      <w:r>
        <w:t xml:space="preserve">, highlighting how local institutional frameworks influence global academic standards. The findings suggest that the integration of regional cultural heritage with cutting-edge research methodologies enhances student engagement and fosters a unique educational identity.</w:t>
      </w:r>
    </w:p>
    <w:p>
      <w:pPr>
        <w:pStyle w:val="BodyText"/>
      </w:pPr>
      <w:r>
        <w:rPr>
          <w:bCs/>
          <w:b/>
        </w:rPr>
        <w:t xml:space="preserve">Keywords:</w:t>
      </w:r>
      <w:r>
        <w:t xml:space="preserve"> </w:t>
      </w:r>
      <w:r>
        <w:t xml:space="preserve">Higher Education, Digital Pedagogy, Academic Leadership,</w:t>
      </w:r>
      <w:r>
        <w:t xml:space="preserve"> </w:t>
      </w:r>
      <w:r>
        <w:rPr>
          <w:bCs/>
          <w:b/>
        </w:rPr>
        <w:t xml:space="preserve">France Marseille</w:t>
      </w:r>
      <w:r>
        <w:t xml:space="preserve">, University Reform.</w:t>
      </w:r>
    </w:p>
    <w:bookmarkStart w:id="20" w:name="introduction"/>
    <w:p>
      <w:pPr>
        <w:pStyle w:val="Heading3"/>
      </w:pPr>
      <w:r>
        <w:t xml:space="preserve">1. Introduction</w:t>
      </w:r>
    </w:p>
    <w:p>
      <w:pPr>
        <w:pStyle w:val="FirstParagraph"/>
      </w:pPr>
      <w:r>
        <w:t xml:space="preserve">The landscape of higher education is undergoing a seismic shift. No longer confined to the traditional lecture hall, the role of the</w:t>
      </w:r>
      <w:r>
        <w:t xml:space="preserve"> </w:t>
      </w:r>
      <w:r>
        <w:rPr>
          <w:bCs/>
          <w:b/>
        </w:rPr>
        <w:t xml:space="preserve">Professor</w:t>
      </w:r>
      <w:r>
        <w:t xml:space="preserve"> </w:t>
      </w:r>
      <w:r>
        <w:t xml:space="preserve">has expanded to encompass that of a researcher, community engagement specialist, and digital innovator. Nowhere is this transformation more evident than in</w:t>
      </w:r>
      <w:r>
        <w:t xml:space="preserve"> </w:t>
      </w:r>
      <w:r>
        <w:rPr>
          <w:bCs/>
          <w:b/>
        </w:rPr>
        <w:t xml:space="preserve">France Marseille</w:t>
      </w:r>
      <w:r>
        <w:t xml:space="preserve">, a city that serves as a vibrant crossroads of Mediterranean culture and European academic ambition. As we convene for this conference paper discussion, it is imperative to examine how the historical gravity of</w:t>
      </w:r>
      <w:r>
        <w:t xml:space="preserve"> </w:t>
      </w:r>
      <w:r>
        <w:rPr>
          <w:bCs/>
          <w:b/>
        </w:rPr>
        <w:t xml:space="preserve">France Marseille</w:t>
      </w:r>
      <w:r>
        <w:t xml:space="preserve">'s intellectual heritage interacts with the rapid advancements of the 21st century.</w:t>
      </w:r>
    </w:p>
    <w:p>
      <w:pPr>
        <w:pStyle w:val="BodyText"/>
      </w:pPr>
      <w:r>
        <w:t xml:space="preserve">The primary objective of this document is to analyze the dual pressure faced by modern academics: maintaining rigorous scholarly standards while adapting to a digitally mediated learning environment. The context provided by</w:t>
      </w:r>
      <w:r>
        <w:t xml:space="preserve"> </w:t>
      </w:r>
      <w:r>
        <w:rPr>
          <w:bCs/>
          <w:b/>
        </w:rPr>
        <w:t xml:space="preserve">France Marseille</w:t>
      </w:r>
      <w:r>
        <w:t xml:space="preserve"> </w:t>
      </w:r>
      <w:r>
        <w:t xml:space="preserve">offers a unique laboratory for these observations, given its status as a hub for maritime studies, Mediterranean history, and biotechnology.</w:t>
      </w:r>
    </w:p>
    <w:bookmarkEnd w:id="20"/>
    <w:bookmarkStart w:id="21" w:name="X4c9bc544a5059774ec93fcfb84351f043ceeb00"/>
    <w:p>
      <w:pPr>
        <w:pStyle w:val="Heading3"/>
      </w:pPr>
      <w:r>
        <w:t xml:space="preserve">2. Historical Context of Academic Leadership in France Marseille</w:t>
      </w:r>
    </w:p>
    <w:p>
      <w:pPr>
        <w:pStyle w:val="FirstParagraph"/>
      </w:pPr>
      <w:r>
        <w:t xml:space="preserve">To understand the current trajectory of the</w:t>
      </w:r>
      <w:r>
        <w:t xml:space="preserve"> </w:t>
      </w:r>
      <w:r>
        <w:rPr>
          <w:bCs/>
          <w:b/>
        </w:rPr>
        <w:t xml:space="preserve">Professor</w:t>
      </w:r>
      <w:r>
        <w:t xml:space="preserve">, one must first appreciate the historical foundations laid in</w:t>
      </w:r>
      <w:r>
        <w:t xml:space="preserve"> </w:t>
      </w:r>
      <w:r>
        <w:rPr>
          <w:bCs/>
          <w:b/>
        </w:rPr>
        <w:t xml:space="preserve">France Marseille</w:t>
      </w:r>
      <w:r>
        <w:t xml:space="preserve">. The University of Aix-Marseille, formed from a merger that symbolized regional unity, stands as a testament to collaborative academic growth. For centuries, scholars in this region have prioritized interdisciplinary research. However, the modern</w:t>
      </w:r>
      <w:r>
        <w:t xml:space="preserve"> </w:t>
      </w:r>
      <w:r>
        <w:rPr>
          <w:bCs/>
          <w:b/>
        </w:rPr>
        <w:t xml:space="preserve">Professor</w:t>
      </w:r>
      <w:r>
        <w:t xml:space="preserve"> </w:t>
      </w:r>
      <w:r>
        <w:t xml:space="preserve">is tasked with more than just preserving tradition; they are required to innovate within it.</w:t>
      </w:r>
    </w:p>
    <w:p>
      <w:pPr>
        <w:pStyle w:val="BodyText"/>
      </w:pPr>
      <w:r>
        <w:t xml:space="preserve">In</w:t>
      </w:r>
      <w:r>
        <w:t xml:space="preserve"> </w:t>
      </w:r>
      <w:r>
        <w:rPr>
          <w:bCs/>
          <w:b/>
        </w:rPr>
        <w:t xml:space="preserve">France Marseille</w:t>
      </w:r>
      <w:r>
        <w:t xml:space="preserve">, the academic community has long recognized that isolation leads to stagnation. Consequently, local institutions have aggressively pursued international partnerships. This global outlook influences how a</w:t>
      </w:r>
      <w:r>
        <w:t xml:space="preserve"> </w:t>
      </w:r>
      <w:r>
        <w:rPr>
          <w:bCs/>
          <w:b/>
        </w:rPr>
        <w:t xml:space="preserve">Professor</w:t>
      </w:r>
      <w:r>
        <w:t xml:space="preserve"> </w:t>
      </w:r>
      <w:r>
        <w:t xml:space="preserve">prepares their curriculum, ensuring that students are not only literate in their specific field but also culturally competent and globally aware.</w:t>
      </w:r>
    </w:p>
    <w:bookmarkEnd w:id="21"/>
    <w:bookmarkStart w:id="22" w:name="X3980727f8b27b2cf5d6b68cc7403238e66c1087"/>
    <w:p>
      <w:pPr>
        <w:pStyle w:val="Heading3"/>
      </w:pPr>
      <w:r>
        <w:t xml:space="preserve">3. The Digital Transformation of the Professoriate</w:t>
      </w:r>
    </w:p>
    <w:p>
      <w:pPr>
        <w:pStyle w:val="FirstParagraph"/>
      </w:pPr>
      <w:r>
        <w:t xml:space="preserve">The most significant challenge facing the contemporary</w:t>
      </w:r>
      <w:r>
        <w:t xml:space="preserve"> </w:t>
      </w:r>
      <w:r>
        <w:rPr>
          <w:bCs/>
          <w:b/>
        </w:rPr>
        <w:t xml:space="preserve">Professor</w:t>
      </w:r>
      <w:r>
        <w:t xml:space="preserve"> </w:t>
      </w:r>
      <w:r>
        <w:t xml:space="preserve">is digital integration. In the context of</w:t>
      </w:r>
      <w:r>
        <w:t xml:space="preserve"> </w:t>
      </w:r>
      <w:r>
        <w:rPr>
          <w:bCs/>
          <w:b/>
        </w:rPr>
        <w:t xml:space="preserve">France Marseille</w:t>
      </w:r>
      <w:r>
        <w:t xml:space="preserve">, this transformation has been accelerated by post-pandemic recovery efforts and substantial government investment in smart campus technologies. The traditional model of knowledge transmission—where the</w:t>
      </w:r>
      <w:r>
        <w:t xml:space="preserve"> </w:t>
      </w:r>
      <w:r>
        <w:rPr>
          <w:bCs/>
          <w:b/>
        </w:rPr>
        <w:t xml:space="preserve">Professor</w:t>
      </w:r>
      <w:r>
        <w:t xml:space="preserve"> </w:t>
      </w:r>
      <w:r>
        <w:t xml:space="preserve">acts as the sole arbiter of truth—is giving way to a facilitative model.</w:t>
      </w:r>
    </w:p>
    <w:p>
      <w:pPr>
        <w:pStyle w:val="BodyText"/>
      </w:pPr>
      <w:r>
        <w:t xml:space="preserve">Data collected from workshops in</w:t>
      </w:r>
      <w:r>
        <w:t xml:space="preserve"> </w:t>
      </w:r>
      <w:r>
        <w:rPr>
          <w:bCs/>
          <w:b/>
        </w:rPr>
        <w:t xml:space="preserve">France Marseille</w:t>
      </w:r>
      <w:r>
        <w:t xml:space="preserve">Professor. Technical proficiency is no longer optional; it is foundational. Furthermore, the ability to curate digital resources rather than simply create them has become a key competency.</w:t>
      </w:r>
    </w:p>
    <w:p>
      <w:pPr>
        <w:pStyle w:val="BodyText"/>
      </w:pPr>
      <w:r>
        <w:t xml:space="preserve">However, this transition is not without its critics. Concerns regarding screen fatigue and the loss of interpersonal connection remain valid. In</w:t>
      </w:r>
      <w:r>
        <w:t xml:space="preserve"> </w:t>
      </w:r>
      <w:r>
        <w:rPr>
          <w:bCs/>
          <w:b/>
        </w:rPr>
        <w:t xml:space="preserve">France Marseille</w:t>
      </w:r>
      <w:r>
        <w:t xml:space="preserve">, academic leaders have responded by emphasizing "high-touch" elements within "high-tech" environments. This balance ensures that while technology aids efficiency, the human element of mentorship remains central to the</w:t>
      </w:r>
      <w:r>
        <w:t xml:space="preserve"> </w:t>
      </w:r>
      <w:r>
        <w:rPr>
          <w:bCs/>
          <w:b/>
        </w:rPr>
        <w:t xml:space="preserve">Professor</w:t>
      </w:r>
      <w:r>
        <w:t xml:space="preserve">'s identity.</w:t>
      </w:r>
    </w:p>
    <w:bookmarkEnd w:id="22"/>
    <w:bookmarkStart w:id="23" w:name="X10eb842b3400d64576e0f6bfaf0cad9d097a807"/>
    <w:p>
      <w:pPr>
        <w:pStyle w:val="Heading3"/>
      </w:pPr>
      <w:r>
        <w:t xml:space="preserve">4. Interdisciplinary Research and Regional Identity</w:t>
      </w:r>
    </w:p>
    <w:p>
      <w:pPr>
        <w:pStyle w:val="FirstParagraph"/>
      </w:pPr>
      <w:r>
        <w:t xml:space="preserve">A distinctive feature of academic life in</w:t>
      </w:r>
      <w:r>
        <w:t xml:space="preserve"> </w:t>
      </w:r>
      <w:r>
        <w:rPr>
          <w:bCs/>
          <w:b/>
        </w:rPr>
        <w:t xml:space="preserve">France Marseille</w:t>
      </w:r>
      <w:r>
        <w:t xml:space="preserve"> </w:t>
      </w:r>
      <w:r>
        <w:t xml:space="preserve">is the emphasis on interdisciplinary collaboration. The geography of the region—the sea, the mountains, and the urban sprawl—dictates research topics that range from marine biology to urban sociology. For a</w:t>
      </w:r>
      <w:r>
        <w:t xml:space="preserve"> </w:t>
      </w:r>
      <w:r>
        <w:rPr>
          <w:bCs/>
          <w:b/>
        </w:rPr>
        <w:t xml:space="preserve">Professor</w:t>
      </w:r>
      <w:r>
        <w:t xml:space="preserve">, this means breaking down silos between departments.</w:t>
      </w:r>
    </w:p>
    <w:p>
      <w:pPr>
        <w:pStyle w:val="BodyText"/>
      </w:pPr>
      <w:r>
        <w:t xml:space="preserve">In recent years, several major initiatives in</w:t>
      </w:r>
      <w:r>
        <w:t xml:space="preserve"> </w:t>
      </w:r>
      <w:r>
        <w:rPr>
          <w:bCs/>
          <w:b/>
        </w:rPr>
        <w:t xml:space="preserve">France Marseille</w:t>
      </w:r>
      <w:r>
        <w:t xml:space="preserve"> </w:t>
      </w:r>
      <w:r>
        <w:t xml:space="preserve">have focused on sustainability. The modern</w:t>
      </w:r>
      <w:r>
        <w:t xml:space="preserve"> </w:t>
      </w:r>
      <w:r>
        <w:rPr>
          <w:bCs/>
          <w:b/>
        </w:rPr>
        <w:t xml:space="preserve">Professor</w:t>
      </w:r>
      <w:r>
        <w:t xml:space="preserve"> </w:t>
      </w:r>
      <w:r>
        <w:t xml:space="preserve">is often the driver of these projects, bringing together engineers, sociologists, and economists to solve complex regional problems. This approach not only enhances the relevance of academic research but also provides students with practical experience in real-world problem-solving.</w:t>
      </w:r>
    </w:p>
    <w:p>
      <w:pPr>
        <w:pStyle w:val="BodyText"/>
      </w:pPr>
      <w:r>
        <w:t xml:space="preserve">The identity of a</w:t>
      </w:r>
      <w:r>
        <w:t xml:space="preserve"> </w:t>
      </w:r>
      <w:r>
        <w:rPr>
          <w:bCs/>
          <w:b/>
        </w:rPr>
        <w:t xml:space="preserve">Professor</w:t>
      </w:r>
      <w:r>
        <w:t xml:space="preserve"> </w:t>
      </w:r>
      <w:r>
        <w:t xml:space="preserve">today is increasingly tied to their ability to navigate these interdisciplinary spaces. They must be polyglots not just in language, but in methodology. The unique cultural fabric of</w:t>
      </w:r>
      <w:r>
        <w:t xml:space="preserve"> </w:t>
      </w:r>
      <w:r>
        <w:rPr>
          <w:bCs/>
          <w:b/>
        </w:rPr>
        <w:t xml:space="preserve">France Marseille</w:t>
      </w:r>
      <w:r>
        <w:t xml:space="preserve">, with its blend of French formalism and Mediterranean openness, provides an ideal environment for such intellectual cross-pollination.</w:t>
      </w:r>
    </w:p>
    <w:bookmarkEnd w:id="23"/>
    <w:bookmarkStart w:id="24" w:name="challenges-and-future-directions"/>
    <w:p>
      <w:pPr>
        <w:pStyle w:val="Heading3"/>
      </w:pPr>
      <w:r>
        <w:t xml:space="preserve">5. Challenges and Future Directions</w:t>
      </w:r>
    </w:p>
    <w:p>
      <w:pPr>
        <w:pStyle w:val="FirstParagraph"/>
      </w:pPr>
      <w:r>
        <w:t xml:space="preserve">Despite the progress made, significant challenges remain. Funding constraints, bureaucratic hurdles, and the rapid pace of technological change pose ongoing risks to academic stability. In</w:t>
      </w:r>
      <w:r>
        <w:t xml:space="preserve"> </w:t>
      </w:r>
      <w:r>
        <w:rPr>
          <w:bCs/>
          <w:b/>
        </w:rPr>
        <w:t xml:space="preserve">France Marseille</w:t>
      </w:r>
      <w:r>
        <w:t xml:space="preserve">, while funding has improved for digital infrastructure, there is still a disparity in resources between large research centers and smaller teaching institutes.</w:t>
      </w:r>
    </w:p>
    <w:p>
      <w:pPr>
        <w:pStyle w:val="BodyText"/>
      </w:pPr>
      <w:r>
        <w:t xml:space="preserve">The role of the</w:t>
      </w:r>
      <w:r>
        <w:t xml:space="preserve"> </w:t>
      </w:r>
      <w:r>
        <w:rPr>
          <w:bCs/>
          <w:b/>
        </w:rPr>
        <w:t xml:space="preserve">Professor</w:t>
      </w:r>
      <w:r>
        <w:t xml:space="preserve"> </w:t>
      </w:r>
      <w:r>
        <w:t xml:space="preserve">must continue to evolve in response to these pressures. Future training programs for academics should focus on resilience, adaptability, and ethical leadership. As we look toward the next decade, the integration of artificial intelligence into research processes will likely become standard practice, requiring every</w:t>
      </w:r>
      <w:r>
        <w:t xml:space="preserve"> </w:t>
      </w:r>
      <w:r>
        <w:rPr>
          <w:bCs/>
          <w:b/>
        </w:rPr>
        <w:t xml:space="preserve">Professor</w:t>
      </w:r>
      <w:r>
        <w:t xml:space="preserve"> </w:t>
      </w:r>
      <w:r>
        <w:t xml:space="preserve">to engage with AI ethics and application.</w:t>
      </w:r>
    </w:p>
    <w:p>
      <w:pPr>
        <w:pStyle w:val="BodyText"/>
      </w:pPr>
      <w:r>
        <w:t xml:space="preserve">Moving forward, conferences like this one in</w:t>
      </w:r>
      <w:r>
        <w:t xml:space="preserve"> </w:t>
      </w:r>
      <w:r>
        <w:rPr>
          <w:bCs/>
          <w:b/>
        </w:rPr>
        <w:t xml:space="preserve">France Marseille</w:t>
      </w:r>
      <w:r>
        <w:t xml:space="preserve"> </w:t>
      </w:r>
      <w:r>
        <w:t xml:space="preserve">are essential platforms for dialogue. They allow scholars from diverse backgrounds to share best practices and challenge conventional wisdoms. By fostering a community of practice, we can ensure that the</w:t>
      </w:r>
      <w:r>
        <w:t xml:space="preserve"> </w:t>
      </w:r>
      <w:r>
        <w:rPr>
          <w:bCs/>
          <w:b/>
        </w:rPr>
        <w:t xml:space="preserve">Professor</w:t>
      </w:r>
      <w:r>
        <w:t xml:space="preserve"> </w:t>
      </w:r>
      <w:r>
        <w:t xml:space="preserve">remains at the forefront of educational innovation.</w:t>
      </w:r>
    </w:p>
    <w:bookmarkEnd w:id="24"/>
    <w:bookmarkStart w:id="25" w:name="conclusion"/>
    <w:p>
      <w:pPr>
        <w:pStyle w:val="Heading3"/>
      </w:pPr>
      <w:r>
        <w:t xml:space="preserve">6. Conclusion</w:t>
      </w:r>
    </w:p>
    <w:p>
      <w:pPr>
        <w:pStyle w:val="FirstParagraph"/>
      </w:pPr>
      <w:r>
        <w:t xml:space="preserve">In conclusion, this conference paper has highlighted the multifaceted role of the</w:t>
      </w:r>
      <w:r>
        <w:t xml:space="preserve"> </w:t>
      </w:r>
      <w:r>
        <w:rPr>
          <w:bCs/>
          <w:b/>
        </w:rPr>
        <w:t xml:space="preserve">Professor</w:t>
      </w:r>
      <w:r>
        <w:t xml:space="preserve"> </w:t>
      </w:r>
      <w:r>
        <w:t xml:space="preserve">in today’s rapidly changing academic landscape. Specifically, within the dynamic context of</w:t>
      </w:r>
      <w:r>
        <w:t xml:space="preserve"> </w:t>
      </w:r>
      <w:r>
        <w:rPr>
          <w:bCs/>
          <w:b/>
        </w:rPr>
        <w:t xml:space="preserve">France Marseille</w:t>
      </w:r>
      <w:r>
        <w:t xml:space="preserve">, we see a model where tradition meets innovation. The city’s commitment to interdisciplinary research and digital transformation provides a blueprint for other institutions worldwide.</w:t>
      </w:r>
    </w:p>
    <w:p>
      <w:pPr>
        <w:pStyle w:val="BodyText"/>
      </w:pPr>
      <w:r>
        <w:t xml:space="preserve">The modern</w:t>
      </w:r>
      <w:r>
        <w:t xml:space="preserve"> </w:t>
      </w:r>
      <w:r>
        <w:rPr>
          <w:bCs/>
          <w:b/>
        </w:rPr>
        <w:t xml:space="preserve">Professor</w:t>
      </w:r>
      <w:r>
        <w:t xml:space="preserve"> </w:t>
      </w:r>
      <w:r>
        <w:t xml:space="preserve">is no longer just a teacher but a leader in knowledge creation and dissemination. By embracing the opportunities presented by their environment, particularly those offered by the vibrant academic ecosystem of</w:t>
      </w:r>
      <w:r>
        <w:t xml:space="preserve"> </w:t>
      </w:r>
      <w:r>
        <w:rPr>
          <w:bCs/>
          <w:b/>
        </w:rPr>
        <w:t xml:space="preserve">France Marseille</w:t>
      </w:r>
      <w:r>
        <w:t xml:space="preserve">, educators can enhance both their professional impact and student outcomes. It is through continuous adaptation and collaboration that we will ensure the vitality of higher education in the years to come.</w:t>
      </w:r>
    </w:p>
    <w:bookmarkEnd w:id="25"/>
    <w:bookmarkStart w:id="26" w:name="references"/>
    <w:p>
      <w:pPr>
        <w:pStyle w:val="Heading3"/>
      </w:pPr>
      <w:r>
        <w:t xml:space="preserve">References</w:t>
      </w:r>
    </w:p>
    <w:p>
      <w:pPr>
        <w:pStyle w:val="FirstParagraph"/>
      </w:pPr>
      <w:r>
        <w:rPr>
          <w:iCs/>
          <w:i/>
        </w:rPr>
        <w:t xml:space="preserve">(Note: References are illustrative for the purpose of this document format.)</w:t>
      </w:r>
    </w:p>
    <w:p>
      <w:pPr>
        <w:numPr>
          <w:ilvl w:val="0"/>
          <w:numId w:val="1001"/>
        </w:numPr>
        <w:pStyle w:val="Compact"/>
      </w:pPr>
      <w:r>
        <w:t xml:space="preserve">- Smith, J. (2022). "Digital Shifts in European Universities." Journal of Higher Ed.</w:t>
      </w:r>
    </w:p>
    <w:p>
      <w:pPr>
        <w:numPr>
          <w:ilvl w:val="0"/>
          <w:numId w:val="1001"/>
        </w:numPr>
        <w:pStyle w:val="Compact"/>
      </w:pPr>
      <w:r>
        <w:t xml:space="preserve">- Dubois, A. &amp; Martin, L. (2023). "Regional Identity and Academic Output in the Mediterranean." Marseille Press.</w:t>
      </w:r>
    </w:p>
    <w:p>
      <w:pPr>
        <w:numPr>
          <w:ilvl w:val="0"/>
          <w:numId w:val="1001"/>
        </w:numPr>
        <w:pStyle w:val="Compact"/>
      </w:pPr>
      <w:r>
        <w:t xml:space="preserve">- European Commission. (2021). "Future Skills for the Modern Professor." Brussels Publications.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Digital Pedagogy: A Perspective from France Marseille</dc:title>
  <dc:creator/>
  <dc:language>en</dc:language>
  <cp:keywords/>
  <dcterms:created xsi:type="dcterms:W3CDTF">2026-07-29T12:08:05Z</dcterms:created>
  <dcterms:modified xsi:type="dcterms:W3CDTF">2026-07-29T12:08:05Z</dcterms:modified>
</cp:coreProperties>
</file>

<file path=docProps/custom.xml><?xml version="1.0" encoding="utf-8"?>
<Properties xmlns="http://schemas.openxmlformats.org/officeDocument/2006/custom-properties" xmlns:vt="http://schemas.openxmlformats.org/officeDocument/2006/docPropsVTypes"/>
</file>