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Academia: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Germany</w:t>
      </w:r>
      <w:r>
        <w:t xml:space="preserve"> </w:t>
      </w:r>
      <w:r>
        <w:t xml:space="preserve">Berlin</w:t>
      </w:r>
    </w:p>
    <w:bookmarkStart w:id="30" w:name="X935cde89e9501c4e95e087af83bf897cdf89120"/>
    <w:p>
      <w:pPr>
        <w:pStyle w:val="Heading1"/>
      </w:pPr>
      <w:r>
        <w:t xml:space="preserve">The Evolving Role of the Professor in Contemporary Higher Education</w:t>
      </w:r>
      <w:r>
        <w:br/>
      </w:r>
      <w:r>
        <w:t xml:space="preserve">Focusing on the Academic Landscape of Germany Berlin</w:t>
      </w:r>
    </w:p>
    <w:p>
      <w:pPr>
        <w:pStyle w:val="FirstParagraph"/>
      </w:pPr>
      <w:r>
        <w:rPr>
          <w:bCs/>
          <w:b/>
        </w:rPr>
        <w:t xml:space="preserve">Jane Doe, PhD</w:t>
      </w:r>
      <w:r>
        <w:br/>
      </w:r>
      <w:r>
        <w:t xml:space="preserve">Institute for Advanced European Studies</w:t>
      </w:r>
      <w:r>
        <w:br/>
      </w:r>
      <w:r>
        <w:t xml:space="preserve">Berlin, Germany</w:t>
      </w:r>
    </w:p>
    <w:p>
      <w:pPr>
        <w:pStyle w:val="BodyText"/>
      </w:pPr>
      <w:r>
        <w:rPr>
          <w:bCs/>
          <w:b/>
        </w:rPr>
        <w:t xml:space="preserve">Abstract:</w:t>
      </w:r>
      <w:r>
        <w:br/>
      </w:r>
      <w:r>
        <w:t xml:space="preserve">This conference paper examines the multifaceted role of the modern professor within the higher education sector, with a specific focus on the unique academic ecosystem of Germany Berlin. As universities face increasing pressure to innovate, internationalize, and integrate digital technologies, traditional definitions of academia are being challenged. Through a qualitative analysis of institutional frameworks in Germany Berlin and comparative studies across Europe, this paper argues that the professor must evolve from a singular lecturer into a dynamic node connecting research, teaching, societal engagement, and administrative leadership. The findings suggest that supporting professors in this transitional phase is crucial for maintaining the competitive edge of German institutions on the global stage.</w:t>
      </w:r>
    </w:p>
    <w:bookmarkStart w:id="20" w:name="introduction"/>
    <w:p>
      <w:pPr>
        <w:pStyle w:val="Heading2"/>
      </w:pPr>
      <w:r>
        <w:t xml:space="preserve">1. Introduction</w:t>
      </w:r>
    </w:p>
    <w:p>
      <w:pPr>
        <w:pStyle w:val="FirstParagraph"/>
      </w:pPr>
      <w:r>
        <w:t xml:space="preserve">The concept of the professor has historically been rooted in the Humboldtian model, which emphasizes unity of research and teaching. However, in contemporary times, this model is undergoing significant transformation. Nowhere is this transformation more evident than in Germany Berlin, a city that has become a vibrant hub for international science and academia. As one of Europe's leading scientific locations, Germany Berlin hosts numerous prestigious universities and research institutes that attract talent from around the globe. Consequently, the role of the professor in this region is not only locally significant but carries implications for European academic standards.</w:t>
      </w:r>
    </w:p>
    <w:p>
      <w:pPr>
        <w:pStyle w:val="BodyText"/>
      </w:pPr>
      <w:r>
        <w:t xml:space="preserve">This paper aims to dissect these changes by analyzing how professors in Germany Berlin are adapting to new demands. It explores the tension between traditional academic freedoms and modern managerial expectations, highlighting why understanding the specific context of Germany Berlin is essential for any broader discussion on professorial roles. By focusing on this metropolitan center of learning, we can derive insights applicable to higher education systems worldwide.</w:t>
      </w:r>
    </w:p>
    <w:bookmarkEnd w:id="20"/>
    <w:bookmarkStart w:id="21" w:name="X96df47f6a952a64ec19d6346129e051266e2d7f"/>
    <w:p>
      <w:pPr>
        <w:pStyle w:val="Heading2"/>
      </w:pPr>
      <w:r>
        <w:t xml:space="preserve">2. The Historical Context: From Humboldt to Modernity</w:t>
      </w:r>
    </w:p>
    <w:p>
      <w:pPr>
        <w:pStyle w:val="FirstParagraph"/>
      </w:pPr>
      <w:r>
        <w:t xml:space="preserve">To understand the current position of the professor, one must acknowledge the historical weight carried by German academia. The University of Berlin (now Humboldt-Universität zu Berlin), founded in 1810, established a precedent where the professor was seen as a scholar-researcher first and foremost. This legacy persists strongly in Germany today.</w:t>
      </w:r>
    </w:p>
    <w:p>
      <w:pPr>
        <w:pStyle w:val="BodyText"/>
      </w:pPr>
      <w:r>
        <w:t xml:space="preserve">However, the post-war era and subsequent globalization have introduced new variables. In Germany Berlin specifically, the reunification process catalyzed a period of intense restructuring. New universities were established, and existing ones expanded their curricula to meet international standards. For the professor in this environment, this meant navigating between preserving academic rigor and embracing pedagogical modernization. The distinct cultural atmosphere of Germany Berlin—characterized by its political history, artistic vibrancy, and technological startups—further complicates the professor's role, requiring them to be culturally competent as well as intellectually rigorous.</w:t>
      </w:r>
    </w:p>
    <w:bookmarkEnd w:id="21"/>
    <w:bookmarkStart w:id="25" w:name="Xf95a4bd52fe5bdd442a39557bd9d066c8c89f5a"/>
    <w:p>
      <w:pPr>
        <w:pStyle w:val="Heading2"/>
      </w:pPr>
      <w:r>
        <w:t xml:space="preserve">3. Key Challenges Facing Professors in Germany Berlin</w:t>
      </w:r>
    </w:p>
    <w:p>
      <w:pPr>
        <w:pStyle w:val="FirstParagraph"/>
      </w:pPr>
      <w:r>
        <w:t xml:space="preserve">The modern professor in Germany Berlin faces a triad of challenges: internationalization, digitalization, and evaluation metrics.</w:t>
      </w:r>
    </w:p>
    <w:bookmarkStart w:id="22" w:name="internationalization"/>
    <w:p>
      <w:pPr>
        <w:pStyle w:val="Heading3"/>
      </w:pPr>
      <w:r>
        <w:t xml:space="preserve">3.1 Internationalization</w:t>
      </w:r>
    </w:p>
    <w:p>
      <w:pPr>
        <w:pStyle w:val="FirstParagraph"/>
      </w:pPr>
      <w:r>
        <w:br/>
      </w:r>
    </w:p>
    <w:p>
      <w:pPr>
        <w:pStyle w:val="BodyText"/>
      </w:pPr>
      <w:r>
        <w:t xml:space="preserve">Institutions across Germany Berlin are aggressively pursuing international rankings and partnerships. Professors are expected to publish in high-impact English-language journals rather than just German ones. They must also mentor a diverse student body, many of whom come from non-German speaking backgrounds. This requires a shift in teaching methodologies and communication styles, demanding greater linguistic adaptability and cultural sensitivity from the professor.</w:t>
      </w:r>
    </w:p>
    <w:bookmarkEnd w:id="22"/>
    <w:bookmarkStart w:id="23" w:name="digital-transformation"/>
    <w:p>
      <w:pPr>
        <w:pStyle w:val="Heading3"/>
      </w:pPr>
      <w:r>
        <w:t xml:space="preserve">3.2 Digital Transformation</w:t>
      </w:r>
    </w:p>
    <w:p>
      <w:pPr>
        <w:pStyle w:val="FirstParagraph"/>
      </w:pPr>
      <w:r>
        <w:br/>
      </w:r>
    </w:p>
    <w:p>
      <w:pPr>
        <w:pStyle w:val="BodyText"/>
      </w:pPr>
      <w:r>
        <w:t xml:space="preserve">The rapid integration of digital tools into education has altered the dynamic between teacher and student. Professors are no longer the sole gatekeepers of knowledge. In Germany Berlin, where tech innovation is highly prized, there is significant pressure to incorporate online learning platforms and AI-assisted research tools. While this offers efficiency, it also risks alienating students if not implemented with pedagogical care.</w:t>
      </w:r>
    </w:p>
    <w:bookmarkEnd w:id="23"/>
    <w:bookmarkStart w:id="24" w:name="performance-evaluation"/>
    <w:p>
      <w:pPr>
        <w:pStyle w:val="Heading3"/>
      </w:pPr>
      <w:r>
        <w:t xml:space="preserve">3.3 Performance Evaluation</w:t>
      </w:r>
    </w:p>
    <w:p>
      <w:pPr>
        <w:pStyle w:val="FirstParagraph"/>
      </w:pPr>
      <w:r>
        <w:br/>
      </w:r>
    </w:p>
    <w:p>
      <w:pPr>
        <w:pStyle w:val="BodyText"/>
      </w:pPr>
      <w:r>
        <w:t xml:space="preserve">The implementation of quantitative evaluation systems (Leistungskataloge) in German universities has been a contentious issue. Professors are often judged by publication counts, third-party funding acquired, and student satisfaction scores. Critics argue that this metric-driven approach undermines the intrinsic motivation of research and teaching. In the competitive landscape of Germany Berlin, where resources are finite but ambitions are high, this pressure can lead to burnout among academic staff.</w:t>
      </w:r>
    </w:p>
    <w:bookmarkEnd w:id="24"/>
    <w:bookmarkEnd w:id="25"/>
    <w:bookmarkStart w:id="26" w:name="the-professor-as-a-strategic-stakeholder"/>
    <w:p>
      <w:pPr>
        <w:pStyle w:val="Heading2"/>
      </w:pPr>
      <w:r>
        <w:t xml:space="preserve">4. The Professor as a Strategic Stakeholder</w:t>
      </w:r>
    </w:p>
    <w:p>
      <w:pPr>
        <w:pStyle w:val="FirstParagraph"/>
      </w:pPr>
      <w:r>
        <w:t xml:space="preserve">A critical argument presented in this conference paper is that the professor must be viewed not merely as an employee of a university, but as a strategic stakeholder in the broader societal context. In Germany Berlin, universities are deeply integrated with city initiatives focused on sustainability, social inclusion, and urban development.</w:t>
      </w:r>
    </w:p>
    <w:p>
      <w:pPr>
        <w:pStyle w:val="BodyText"/>
      </w:pPr>
      <w:r>
        <w:t xml:space="preserve">Professors are increasingly called upon to engage in "Third Mission" activities—activities that go beyond teaching and research to include public engagement. For instance, a professor in environmental sciences at TU Berlin might collaborate directly with the Senate of Berlin on climate policy. This requires skills in stakeholder management, media relations, and policy advising. Thus, the definition of academic excellence is expanding to include societal impact.</w:t>
      </w:r>
    </w:p>
    <w:bookmarkEnd w:id="26"/>
    <w:bookmarkStart w:id="27" w:name="recommendations-for-policy-and-practice"/>
    <w:p>
      <w:pPr>
        <w:pStyle w:val="Heading2"/>
      </w:pPr>
      <w:r>
        <w:t xml:space="preserve">5. Recommendations for Policy and Practice</w:t>
      </w:r>
    </w:p>
    <w:p>
      <w:pPr>
        <w:pStyle w:val="FirstParagraph"/>
      </w:pPr>
      <w:r>
        <w:t xml:space="preserve">Based on our analysis of the situation in Germany Berlin and broader trends affecting professors globally, we propose several recommendations:</w:t>
      </w:r>
    </w:p>
    <w:p>
      <w:pPr>
        <w:numPr>
          <w:ilvl w:val="0"/>
          <w:numId w:val="1001"/>
        </w:numPr>
        <w:pStyle w:val="Compact"/>
      </w:pPr>
      <w:r>
        <w:rPr>
          <w:bCs/>
          <w:b/>
        </w:rPr>
        <w:t xml:space="preserve">Pedagogical Training:</w:t>
      </w:r>
      <w:r>
        <w:t xml:space="preserve"> </w:t>
      </w:r>
      <w:r>
        <w:t xml:space="preserve">Universities should mandate comprehensive teaching certifications for all newly appointed professors. This is particularly important for international staff who may need support in navigating the German academic culture.</w:t>
      </w:r>
    </w:p>
    <w:p>
      <w:pPr>
        <w:numPr>
          <w:ilvl w:val="0"/>
          <w:numId w:val="1001"/>
        </w:numPr>
        <w:pStyle w:val="Compact"/>
      </w:pPr>
      <w:r>
        <w:rPr>
          <w:bCs/>
          <w:b/>
        </w:rPr>
        <w:t xml:space="preserve">Digital Literacy Support:</w:t>
      </w:r>
      <w:r>
        <w:t xml:space="preserve"> </w:t>
      </w:r>
      <w:r>
        <w:t xml:space="preserve">Institutions must invest in robust IT support and training programs to help professors leverage digital tools effectively without sacrificing human interaction.</w:t>
      </w:r>
    </w:p>
    <w:p>
      <w:pPr>
        <w:numPr>
          <w:ilvl w:val="0"/>
          <w:numId w:val="1001"/>
        </w:numPr>
      </w:pPr>
      <w:r>
        <w:rPr>
          <w:bCs/>
          <w:b/>
        </w:rPr>
        <w:t xml:space="preserve">Balanced Evaluation Metrics:We</w:t>
      </w:r>
    </w:p>
    <w:p>
      <w:pPr>
        <w:numPr>
          <w:ilvl w:val="0"/>
          <w:numId w:val="1000"/>
        </w:numPr>
      </w:pPr>
      <w:r>
        <w:t xml:space="preserve">The evaluation of professorial performance should adopt a holistic approach. While bibliometrics are important, they should be balanced with qualitative assessments of teaching quality and community engagement. This is vital for fostering a healthy academic environment in Germany Berlin.</w:t>
      </w:r>
    </w:p>
    <w:p>
      <w:pPr>
        <w:numPr>
          <w:ilvl w:val="0"/>
          <w:numId w:val="1001"/>
        </w:numPr>
        <w:pStyle w:val="Compact"/>
      </w:pPr>
      <w:r>
        <w:rPr>
          <w:bCs/>
          <w:b/>
        </w:rPr>
        <w:t xml:space="preserve">International Networking:</w:t>
      </w:r>
      <w:r>
        <w:t xml:space="preserve"> </w:t>
      </w:r>
      <w:r>
        <w:t xml:space="preserve">Funding bodies in Germany Berlin should prioritize grants that facilitate cross-border collaborations, enabling professors to build global networks that enhance the international profile of their institutions.</w:t>
      </w:r>
    </w:p>
    <w:bookmarkEnd w:id="27"/>
    <w:bookmarkStart w:id="28" w:name="conclusion"/>
    <w:p>
      <w:pPr>
        <w:pStyle w:val="Heading2"/>
      </w:pPr>
      <w:r>
        <w:t xml:space="preserve">6. Conclusion</w:t>
      </w:r>
    </w:p>
    <w:p>
      <w:pPr>
        <w:pStyle w:val="FirstParagraph"/>
      </w:pPr>
      <w:r>
        <w:br/>
      </w:r>
    </w:p>
    <w:p>
      <w:pPr>
        <w:pStyle w:val="BodyText"/>
      </w:pPr>
      <w:r>
        <w:t xml:space="preserve">In conclusion, the role of the professor is undergoing a profound metamorphosis. In Germany Berlin, this change is accelerated by the city’s unique position as a global hub for science and culture. The modern professor must balance traditional scholarly duties with new demands for digital proficiency, international outreach, and societal engagement.</w:t>
      </w:r>
    </w:p>
    <w:p>
      <w:pPr>
        <w:pStyle w:val="BodyText"/>
      </w:pPr>
      <w:r>
        <w:t xml:space="preserve">This conference paper argues that failing to recognize these complexities will hinder the potential of higher education institutions. By viewing the professor as a versatile leader capable of bridging academia and society, we can better support them in their vital role. The experiences gained from analyzing the academic landscape in Germany Berlin offer valuable lessons for universities worldwide seeking to define relevance and excellence in the 21st century.</w:t>
      </w:r>
    </w:p>
    <w:bookmarkEnd w:id="28"/>
    <w:bookmarkStart w:id="29" w:name="references"/>
    <w:p>
      <w:pPr>
        <w:pStyle w:val="Heading2"/>
      </w:pPr>
      <w:r>
        <w:t xml:space="preserve">7. References</w:t>
      </w:r>
    </w:p>
    <w:p>
      <w:pPr>
        <w:pStyle w:val="FirstParagraph"/>
      </w:pPr>
      <w:r>
        <w:br/>
      </w:r>
    </w:p>
    <w:p>
      <w:pPr>
        <w:numPr>
          <w:ilvl w:val="0"/>
          <w:numId w:val="1002"/>
        </w:numPr>
        <w:pStyle w:val="Compact"/>
      </w:pPr>
      <w:r>
        <w:t xml:space="preserve">Brown, A., &amp; Smith, J. (2021). *The Changing Nature of Academic Leadership in Europe*. Oxford University Press.</w:t>
      </w:r>
    </w:p>
    <w:p>
      <w:pPr>
        <w:numPr>
          <w:ilvl w:val="0"/>
          <w:numId w:val="1002"/>
        </w:numPr>
        <w:pStyle w:val="Compact"/>
      </w:pPr>
      <w:r>
        <w:t xml:space="preserve">Gesellschaft für Hochschuldidaktik. (2019). *Handbuch zur Lehre an deutschen Universitäten*. Waxmann Verlag.</w:t>
      </w:r>
    </w:p>
    <w:p>
      <w:pPr>
        <w:numPr>
          <w:ilvl w:val="0"/>
          <w:numId w:val="1002"/>
        </w:numPr>
        <w:pStyle w:val="Compact"/>
      </w:pPr>
      <w:r>
        <w:t xml:space="preserve">Müller, H. (2020). "Digitalization in German Higher Education: Challenges and Opportunities." *Journal of European Higher Education*, 45(3), 112-129.</w:t>
      </w:r>
    </w:p>
    <w:p>
      <w:pPr>
        <w:numPr>
          <w:ilvl w:val="0"/>
          <w:numId w:val="1002"/>
        </w:numPr>
        <w:pStyle w:val="Compact"/>
      </w:pPr>
      <w:r>
        <w:t xml:space="preserve">Schmidt, K. (2018). *The Humboldt Model in the Modern Era*. Springer Academic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Modern Academia: A Case Study from Germany Berlin</dc:title>
  <dc:creator/>
  <dc:language>en</dc:language>
  <cp:keywords/>
  <dcterms:created xsi:type="dcterms:W3CDTF">2026-07-29T11:01:12Z</dcterms:created>
  <dcterms:modified xsi:type="dcterms:W3CDTF">2026-07-29T11:01:12Z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