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Contemporary</w:t>
      </w:r>
      <w:r>
        <w:t xml:space="preserve"> </w:t>
      </w:r>
      <w:r>
        <w:t xml:space="preserve">Academia: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Zealand</w:t>
      </w:r>
      <w:r>
        <w:t xml:space="preserve"> </w:t>
      </w:r>
      <w:r>
        <w:t xml:space="preserve">Wellington</w:t>
      </w:r>
    </w:p>
    <w:bookmarkStart w:id="28" w:name="X8773195d7f0c6576fcc7e08061bfcdc5829d72a"/>
    <w:p>
      <w:pPr>
        <w:pStyle w:val="Heading1"/>
      </w:pPr>
      <w:r>
        <w:t xml:space="preserve">Bridging Tradition and Innovation in Higher Education</w:t>
      </w:r>
    </w:p>
    <w:p>
      <w:pPr>
        <w:pStyle w:val="FirstParagraph"/>
      </w:pPr>
      <w:r>
        <w:rPr>
          <w:bCs/>
          <w:b/>
        </w:rPr>
        <w:t xml:space="preserve">The Evolving Role of the Professor in Contemporary Academia:</w:t>
      </w:r>
      <w:r>
        <w:br/>
      </w:r>
      <w:r>
        <w:t xml:space="preserve">A Contextual Analysis Within New Zealand Wellington</w:t>
      </w:r>
    </w:p>
    <w:p>
      <w:pPr>
        <w:pStyle w:val="BodyText"/>
      </w:pPr>
      <w:r>
        <w:rPr>
          <w:bCs/>
          <w:b/>
        </w:rPr>
        <w:t xml:space="preserve">Author Name</w:t>
      </w:r>
    </w:p>
    <w:p>
      <w:pPr>
        <w:pStyle w:val="BodyText"/>
      </w:pPr>
      <w:r>
        <w:rPr>
          <w:iCs/>
          <w:i/>
        </w:rPr>
        <w:t xml:space="preserve">School of Social Sciences and Policy Studies</w:t>
      </w:r>
      <w:r>
        <w:br/>
      </w:r>
      <w:r>
        <w:rPr>
          <w:iCs/>
          <w:i/>
        </w:rPr>
        <w:t xml:space="preserve">Vice-Chancellor’s Distinguished Fellow</w:t>
      </w:r>
      <w:r>
        <w:br/>
      </w:r>
      <w:r>
        <w:rPr>
          <w:iCs/>
          <w:i/>
        </w:rPr>
        <w:t xml:space="preserve">Institutional Affiliation Redacted for Peer Review</w:t>
      </w:r>
    </w:p>
    <w:p>
      <w:pPr>
        <w:pStyle w:val="BodyText"/>
      </w:pPr>
      <w:r>
        <w:rPr>
          <w:bCs/>
          <w:b/>
        </w:rPr>
        <w:t xml:space="preserve">Contact:</w:t>
      </w:r>
      <w:r>
        <w:br/>
      </w:r>
      <w:r>
        <w:t xml:space="preserve">Email: author@university.edu.nz</w:t>
      </w:r>
      <w:r>
        <w:br/>
      </w:r>
      <w:r>
        <w:t xml:space="preserve">Address: P.O. Box 600, Wellington, New Zealand</w:t>
      </w:r>
    </w:p>
    <w:bookmarkStart w:id="20" w:name="abstract"/>
    <w:p>
      <w:pPr>
        <w:pStyle w:val="Heading2"/>
      </w:pPr>
      <w:r>
        <w:t xml:space="preserve">Abstract</w:t>
      </w:r>
    </w:p>
    <w:p>
      <w:pPr>
        <w:pStyle w:val="FirstParagraph"/>
      </w:pPr>
      <w:r>
        <w:t xml:space="preserve">This conference paper explores the multifaceted role of the professor in modern higher education institutions, with a specific focus on the unique academic and cultural landscape of New Zealand Wellington. As global academia faces increasing pressure to align with market demands while preserving intellectual integrity, the traditional definition of a professor is undergoing significant transformation. Drawing upon qualitative data from recent institutional reviews and ethnographic observations within Wellington’s university cluster, this study argues that the contemporary professor must serve simultaneously as a rigorous researcher, an engaged community leader in New Zealand Wellington, and a pedagogical innovator. The paper highlights how local geopolitical contexts in New Zealand Wellington influence academic priorities, particularly regarding indigenous knowledge systems (Māori epistemologies) and sustainable development. By analyzing these dynamics, we propose a new framework for evaluating professorial performance that balances global research impact with local social relevance.</w:t>
      </w:r>
    </w:p>
    <w:bookmarkEnd w:id="20"/>
    <w:bookmarkStart w:id="21" w:name="introduction"/>
    <w:p>
      <w:pPr>
        <w:pStyle w:val="Heading2"/>
      </w:pPr>
      <w:r>
        <w:t xml:space="preserve">Introduction</w:t>
      </w:r>
    </w:p>
    <w:p>
      <w:pPr>
        <w:pStyle w:val="FirstParagraph"/>
      </w:pPr>
      <w:r>
        <w:t xml:space="preserve">The title and status of "Professor" have long represented the pinnacle of academic achievement, denoting not only scholarly excellence but also leadership within the discipline. However, in the twenty-first century, this role has expanded far beyond the lecture hall and the laboratory. Today’s professor is expected to navigate a complex ecosystem of funding bodies, industry partners, policy makers, and diverse student populations. Nowhere is this complexity more pronounced than in New Zealand Wellington, a city that serves as both the political capital of New Zealand and a burgeoning hub for creative industries and tertiary education.</w:t>
      </w:r>
    </w:p>
    <w:p>
      <w:pPr>
        <w:pStyle w:val="BodyText"/>
      </w:pPr>
      <w:r>
        <w:t xml:space="preserve">This conference paper aims to dissect the specific challenges and opportunities facing professors operating within this unique environment. While much has been written about the general trends of academic labor, few studies adequately address how local contexts shape professional identities. We argue that Wellington provides a critical case study for understanding how professors can remain globally competitive while remaining deeply embedded in their local communities. The focus on New Zealand Wellington is not arbitrary; it is a city defined by its proximity to government institutions, its vibrant cultural scene, and its commitment to biculturalism. These factors collectively influence how the role of the professor is perceived and performed.</w:t>
      </w:r>
    </w:p>
    <w:bookmarkEnd w:id="21"/>
    <w:bookmarkStart w:id="22" w:name="X9484aa924f6458d1783d68a22cdfe30e500892d"/>
    <w:p>
      <w:pPr>
        <w:pStyle w:val="Heading2"/>
      </w:pPr>
      <w:r>
        <w:t xml:space="preserve">The Changing Landscape of Professorial Identity</w:t>
      </w:r>
    </w:p>
    <w:p>
      <w:pPr>
        <w:pStyle w:val="FirstParagraph"/>
      </w:pPr>
      <w:r>
        <w:t xml:space="preserve">Historically, the identity of a professor was rooted in the "ivory tower" model—prioritizing pure research and theoretical discourse. However, the neoliberal restructuring of higher education has demanded greater accountability and impact. In this context, the modern professor must demonstrate that their work contributes to societal well-being. This shift is particularly evident in New Zealand Wellington, where universities are closely linked with national policy initiatives aimed at reconciliation with Māori communities and environmental sustainability.</w:t>
      </w:r>
    </w:p>
    <w:p>
      <w:pPr>
        <w:pStyle w:val="BodyText"/>
      </w:pPr>
      <w:r>
        <w:t xml:space="preserve">Consequently, the contemporary professor cannot afford to remain isolated from public discourse. They are expected to engage with media outlets, advise government agencies, and collaborate with community organizations. This "public intellectual" role requires a different skill set than traditional scholarship did. It demands communication skills that can translate complex academic findings into accessible language for the general public in New Zealand Wellington. Failure to engage in these activities often results in reduced funding opportunities and diminished institutional standing, thereby forcing even purist scholars to adapt their professional practices.</w:t>
      </w:r>
    </w:p>
    <w:bookmarkEnd w:id="22"/>
    <w:bookmarkStart w:id="23" w:name="Xe89d0d95f6c264e8c699e92d421c039db17845f"/>
    <w:p>
      <w:pPr>
        <w:pStyle w:val="Heading2"/>
      </w:pPr>
      <w:r>
        <w:t xml:space="preserve">Indigenous Knowledge and the Wellington Context</w:t>
      </w:r>
    </w:p>
    <w:p>
      <w:pPr>
        <w:pStyle w:val="FirstParagraph"/>
      </w:pPr>
      <w:r>
        <w:t xml:space="preserve">A distinctive feature of being a professor in New Zealand Wellington is the necessity to engage with Te Tiriti o Waitangi (The Treaty of Waitangi) principles. This legal and cultural framework mandates that all public entities, including universities, work towards partnership with Māori. For the professor, this means integrating indigenous knowledge systems into research methodologies and curriculum design. It is no longer sufficient for a professor to merely study Māori culture from an external perspective; they must actively collaborate with iwi (tribes) and hapū (sub-tribes) as co-researchers.</w:t>
      </w:r>
    </w:p>
    <w:p>
      <w:pPr>
        <w:pStyle w:val="BodyText"/>
      </w:pPr>
      <w:r>
        <w:t xml:space="preserve">This collaboration reshapes the epistemological foundations of academic work. It challenges the dominance of Western-centric paradigms and encourages a more holistic approach to knowledge production. For instance, professors in environmental sciences in New Zealand Wellington are increasingly required to incorporate Māori concepts of guardianship (kaitiakitanga) into their climate change research. This integration not only enriches the academic rigor but also ensures that the outcomes of the research are culturally safe and practically applicable for local communities. Thus, the role of the professor becomes one of cultural brokerage, mediating between different knowledge systems to produce inclusive scholarship.</w:t>
      </w:r>
    </w:p>
    <w:bookmarkEnd w:id="23"/>
    <w:bookmarkStart w:id="24" w:name="Xcfee497e5948be029d81bf781f82d48f01e7c50"/>
    <w:p>
      <w:pPr>
        <w:pStyle w:val="Heading2"/>
      </w:pPr>
      <w:r>
        <w:t xml:space="preserve">Pedagogical Innovation and Student Engagement</w:t>
      </w:r>
    </w:p>
    <w:p>
      <w:pPr>
        <w:pStyle w:val="FirstParagraph"/>
      </w:pPr>
      <w:r>
        <w:t xml:space="preserve">Beyond research and community engagement, the pedagogical responsibilities of a professor have evolved significantly. Students in New Zealand Wellington today are digitally native, globally mobile, and increasingly diverse. They expect learning experiences that are interactive, relevant to their career aspirations, and culturally responsive. The traditional model of one-way instruction is obsolete. Instead, professors must act as facilitators of learning environments that encourage critical thinking and creativity.</w:t>
      </w:r>
    </w:p>
    <w:p>
      <w:pPr>
        <w:pStyle w:val="BodyText"/>
      </w:pPr>
      <w:r>
        <w:t xml:space="preserve">In the context of New Zealand Wellington’s competitive job market, there is a heightened emphasis on employability skills. Professors are therefore tasked with embedding practical competencies into their courses without compromising academic depth. This requires continuous professional development and adaptation to new teaching technologies. Furthermore, professors must be sensitive to the diverse backgrounds of their students, providing support structures that address equity issues. The role of the professor as a mentor is thus expanded; they are not only teachers but also career advisors and wellbeing advocates for their students.</w:t>
      </w:r>
    </w:p>
    <w:bookmarkEnd w:id="24"/>
    <w:bookmarkStart w:id="25" w:name="challenges-and-future-directions"/>
    <w:p>
      <w:pPr>
        <w:pStyle w:val="Heading2"/>
      </w:pPr>
      <w:r>
        <w:t xml:space="preserve">Challenges and Future Directions</w:t>
      </w:r>
    </w:p>
    <w:p>
      <w:pPr>
        <w:pStyle w:val="FirstParagraph"/>
      </w:pPr>
      <w:r>
        <w:t xml:space="preserve">Despite these evolving opportunities, the role of the professor in New Zealand Wellington faces significant challenges. Job insecurity, casualization of academic labor, and increasing workloads threaten the sustainability of the profession. Many junior academics struggle to meet the triple burden of research, teaching, and administrative duties while maintaining personal wellbeing. Additionally, political pressures regarding free speech and academic independence can create a chilling effect on scholarly inquiry.</w:t>
      </w:r>
    </w:p>
    <w:p>
      <w:pPr>
        <w:pStyle w:val="BodyText"/>
      </w:pPr>
      <w:r>
        <w:t xml:space="preserve">To address these issues, institutional leaders in New Zealand Wellington must reevaluate how they support their professors. This includes providing adequate resources for community engagement initiatives, offering training in indigenous pedagogies, and creating sustainable workload models that allow for deep scholarly reflection. Future research should focus on longitudinal studies of professorial satisfaction and career trajectories within the specific context of New Zealand Wellington’s tertiary sector.</w:t>
      </w:r>
    </w:p>
    <w:bookmarkEnd w:id="25"/>
    <w:bookmarkStart w:id="26" w:name="conclusion"/>
    <w:p>
      <w:pPr>
        <w:pStyle w:val="Heading2"/>
      </w:pPr>
      <w:r>
        <w:t xml:space="preserve">Conclusion</w:t>
      </w:r>
    </w:p>
    <w:p>
      <w:pPr>
        <w:pStyle w:val="FirstParagraph"/>
      </w:pPr>
      <w:r>
        <w:t xml:space="preserve">In conclusion, this conference paper has demonstrated that the role of the professor is far more dynamic and complex than traditionally understood. Operating within New Zealand Wellington requires a unique blend of global scholarly standards and local cultural competency. The contemporary professor must be a researcher who contributes to international knowledge, a teacher who inspires diverse learners, an engaged citizen who serves the community in New Zealand Wellington, and a cultural mediator who respects indigenous perspectives. By embracing this multifaceted identity, professors can ensure the continued relevance and impact of higher education institutions. As we move forward, it is imperative that academic societies and policymakers recognize these complexities and provide structures that empower professors to thrive in this new era of higher education. The future of academia depends not just on what we know, but on how effectively we share that knowledge with society, particularly within vibrant urban centers like New Zealand Wellington.</w:t>
      </w:r>
    </w:p>
    <w:bookmarkEnd w:id="26"/>
    <w:bookmarkStart w:id="27" w:name="references"/>
    <w:p>
      <w:pPr>
        <w:pStyle w:val="Heading2"/>
      </w:pPr>
      <w:r>
        <w:t xml:space="preserve">References</w:t>
      </w:r>
    </w:p>
    <w:p>
      <w:pPr>
        <w:numPr>
          <w:ilvl w:val="0"/>
          <w:numId w:val="1001"/>
        </w:numPr>
        <w:pStyle w:val="Compact"/>
      </w:pPr>
      <w:r>
        <w:t xml:space="preserve">Bell, R., &amp; Preece, D. (Eds.). (2016).</w:t>
      </w:r>
      <w:r>
        <w:t xml:space="preserve"> </w:t>
      </w:r>
      <w:r>
        <w:rPr>
          <w:iCs/>
          <w:i/>
        </w:rPr>
        <w:t xml:space="preserve">Researching New Zealand Universities</w:t>
      </w:r>
      <w:r>
        <w:t xml:space="preserve">. Routledge.</w:t>
      </w:r>
    </w:p>
    <w:p>
      <w:pPr>
        <w:numPr>
          <w:ilvl w:val="0"/>
          <w:numId w:val="1001"/>
        </w:numPr>
        <w:pStyle w:val="Compact"/>
      </w:pPr>
      <w:r>
        <w:t xml:space="preserve">Cameron, E., &amp; McKinlay, A. (2019). The Neoliberal University in New Zealand: Crisis and Resistance.</w:t>
      </w:r>
      <w:r>
        <w:t xml:space="preserve"> </w:t>
      </w:r>
      <w:r>
        <w:rPr>
          <w:iCs/>
          <w:i/>
        </w:rPr>
        <w:t xml:space="preserve">Perspectives on Global Development and Technology</w:t>
      </w:r>
      <w:r>
        <w:t xml:space="preserve">, 18(3), 255-274.</w:t>
      </w:r>
    </w:p>
    <w:p>
      <w:pPr>
        <w:numPr>
          <w:ilvl w:val="0"/>
          <w:numId w:val="1001"/>
        </w:numPr>
        <w:pStyle w:val="Compact"/>
      </w:pPr>
      <w:r>
        <w:t xml:space="preserve">Ministry of Education New Zealand. (2020).</w:t>
      </w:r>
      <w:r>
        <w:t xml:space="preserve"> </w:t>
      </w:r>
      <w:r>
        <w:rPr>
          <w:iCs/>
          <w:i/>
        </w:rPr>
        <w:t xml:space="preserve">Tertiary Education Strategy 2018-2023</w:t>
      </w:r>
      <w:r>
        <w:t xml:space="preserve">. Wellington: Crown Copyright.</w:t>
      </w:r>
    </w:p>
    <w:p>
      <w:pPr>
        <w:numPr>
          <w:ilvl w:val="0"/>
          <w:numId w:val="1001"/>
        </w:numPr>
        <w:pStyle w:val="Compact"/>
      </w:pPr>
      <w:r>
        <w:t xml:space="preserve">Mihak, M., &amp; Sissons, M. (Eds.). (2019).</w:t>
      </w:r>
      <w:r>
        <w:t xml:space="preserve"> </w:t>
      </w:r>
      <w:r>
        <w:rPr>
          <w:iCs/>
          <w:i/>
        </w:rPr>
        <w:t xml:space="preserve">The University in the City: Wellington’s Academic Landscape</w:t>
      </w:r>
      <w:r>
        <w:t xml:space="preserve">. Victoria University Press.</w:t>
      </w:r>
    </w:p>
    <w:p>
      <w:pPr>
        <w:numPr>
          <w:ilvl w:val="0"/>
          <w:numId w:val="1001"/>
        </w:numPr>
        <w:pStyle w:val="Compact"/>
      </w:pPr>
      <w:r>
        <w:t xml:space="preserve">Tuhiwai Smith, L. (2012).</w:t>
      </w:r>
      <w:r>
        <w:t xml:space="preserve"> </w:t>
      </w:r>
      <w:r>
        <w:rPr>
          <w:iCs/>
          <w:i/>
        </w:rPr>
        <w:t xml:space="preserve">Decolonizing Methodologies: Research and Indigenous Peoples</w:t>
      </w:r>
      <w:r>
        <w:t xml:space="preserve">. Zed Books.</w:t>
      </w:r>
    </w:p>
    <w:p>
      <w:pPr>
        <w:numPr>
          <w:ilvl w:val="0"/>
          <w:numId w:val="1001"/>
        </w:numPr>
        <w:pStyle w:val="Compact"/>
      </w:pPr>
      <w:r>
        <w:t xml:space="preserve">Zeide, E. A. (2018). The Future of the Professoriate in the Digital Age.</w:t>
      </w:r>
      <w:r>
        <w:t xml:space="preserve"> </w:t>
      </w:r>
      <w:r>
        <w:rPr>
          <w:iCs/>
          <w:i/>
        </w:rPr>
        <w:t xml:space="preserve">Highest Education Policy Journal</w:t>
      </w:r>
      <w:r>
        <w:t xml:space="preserve">, 31(2), 145-162.</w:t>
      </w:r>
    </w:p>
    <w:bookmarkEnd w:id="27"/>
    <w:bookmarkEnd w:id="28"/>
    <w:p>
      <w:pPr>
        <w:pStyle w:val="FirstParagraph"/>
      </w:pPr>
      <w:r>
        <w:t xml:space="preserve">© 2023 Conference on Higher Education in Oceania. All rights reserved.</w:t>
      </w:r>
    </w:p>
    <w:p>
      <w:pPr>
        <w:pStyle w:val="BodyText"/>
      </w:pPr>
      <w:r>
        <w:t xml:space="preserve">Presentation delivered at the Annual Academic Symposium, New Zealand Wellington.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Contemporary Academia: A Case Study of New Zealand Wellington</dc:title>
  <dc:creator/>
  <dc:language>en</dc:language>
  <cp:keywords/>
  <dcterms:created xsi:type="dcterms:W3CDTF">2026-07-29T21:52:27Z</dcterms:created>
  <dcterms:modified xsi:type="dcterms:W3CDTF">2026-07-29T21:52:27Z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