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Lumpur:</w:t>
      </w:r>
      <w:r>
        <w:t xml:space="preserve"> </w:t>
      </w:r>
      <w:r>
        <w:t xml:space="preserve">Bridging</w:t>
      </w:r>
      <w:r>
        <w:t xml:space="preserve"> </w:t>
      </w:r>
      <w:r>
        <w:t xml:space="preserve">Innovation</w:t>
      </w:r>
      <w:r>
        <w:t xml:space="preserve"> </w:t>
      </w:r>
      <w:r>
        <w:t xml:space="preserve">and</w:t>
      </w:r>
      <w:r>
        <w:t xml:space="preserve"> </w:t>
      </w:r>
      <w:r>
        <w:t xml:space="preserve">Industry</w:t>
      </w:r>
      <w:r>
        <w:t xml:space="preserve"> </w:t>
      </w:r>
      <w:r>
        <w:t xml:space="preserve">4.0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Robotics Engineer in Malaysia Kuala Lumpur: Bridging Innovation and Industry 4.0</dc:title>
  <dc:creator/>
  <dc:language>en</dc:language>
  <cp:keywords/>
  <dcterms:created xsi:type="dcterms:W3CDTF">2026-09-27T14:47:27Z</dcterms:created>
  <dcterms:modified xsi:type="dcterms:W3CDTF">2026-09-27T14:47:27Z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