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Germany</w:t>
      </w:r>
      <w:r>
        <w:t xml:space="preserve"> </w:t>
      </w:r>
      <w:r>
        <w:t xml:space="preserve">Frankfurt:</w:t>
      </w:r>
      <w:r>
        <w:t xml:space="preserve"> </w:t>
      </w:r>
      <w:r>
        <w:t xml:space="preserve">Navigating</w:t>
      </w:r>
      <w:r>
        <w:t xml:space="preserve"> </w:t>
      </w:r>
      <w:r>
        <w:t xml:space="preserve">Complexity</w:t>
      </w:r>
      <w:r>
        <w:t xml:space="preserve"> </w:t>
      </w:r>
      <w:r>
        <w:t xml:space="preserve">in</w:t>
      </w:r>
      <w:r>
        <w:t xml:space="preserve"> </w:t>
      </w:r>
      <w:r>
        <w:t xml:space="preserve">a</w:t>
      </w:r>
      <w:r>
        <w:t xml:space="preserve"> </w:t>
      </w:r>
      <w:r>
        <w:t xml:space="preserve">Global</w:t>
      </w:r>
      <w:r>
        <w:t xml:space="preserve"> </w:t>
      </w:r>
      <w:r>
        <w:t xml:space="preserve">Metropolis</w:t>
      </w:r>
    </w:p>
    <w:bookmarkStart w:id="35" w:name="X69cfa6da267b1b60b49d3e1b38316080c51aa9c"/>
    <w:p>
      <w:pPr>
        <w:pStyle w:val="Heading1"/>
      </w:pPr>
      <w:r>
        <w:t xml:space="preserve">The Evolving Role of the Social Worker in Germany Frankfurt: Navigating Complexity in a Global Metropolis</w:t>
      </w:r>
    </w:p>
    <w:p>
      <w:pPr>
        <w:pStyle w:val="FirstParagraph"/>
      </w:pPr>
      <w:r>
        <w:rPr>
          <w:bCs/>
          <w:b/>
        </w:rPr>
        <w:t xml:space="preserve">A Conference Paper Presentation</w:t>
      </w:r>
    </w:p>
    <w:p>
      <w:pPr>
        <w:pStyle w:val="BodyText"/>
      </w:pPr>
      <w:r>
        <w:rPr>
          <w:iCs/>
          <w:i/>
        </w:rPr>
        <w:t xml:space="preserve">Preliminary Draft for International Symposium on Urban Social Policy</w:t>
      </w:r>
    </w:p>
    <w:bookmarkStart w:id="20" w:name="abstract"/>
    <w:p>
      <w:pPr>
        <w:pStyle w:val="Heading3"/>
      </w:pPr>
      <w:r>
        <w:t xml:space="preserve">Abstract</w:t>
      </w:r>
    </w:p>
    <w:p>
      <w:pPr>
        <w:pStyle w:val="FirstParagraph"/>
      </w:pPr>
      <w:r>
        <w:t xml:space="preserve">This paper examines the multifaceted role of the</w:t>
      </w:r>
      <w:r>
        <w:t xml:space="preserve"> </w:t>
      </w:r>
      <w:r>
        <w:rPr>
          <w:bCs/>
          <w:b/>
        </w:rPr>
        <w:t xml:space="preserve">Social Worker</w:t>
      </w:r>
      <w:r>
        <w:t xml:space="preserve"> </w:t>
      </w:r>
      <w:r>
        <w:t xml:space="preserve">within the specific socio-economic and demographic context of Germany Frankfurt. As one of Europe’s leading financial hubs, Frankfurt presents a unique paradox: immense wealth coexisting with deep structural inequalities. This study analyzes how professional social work practices adapt to high migration rates, housing crises, and bureaucratic complexities inherent in the German welfare state. By exploring case studies from local community centers and municipal youth offices in Germany Frankfurt, this paper highlights the necessity for culturally competent intervention strategies. The findings suggest that while traditional models remain relevant, there is an urgent need for hybrid approaches that integrate digital literacy and intercultural mediation to effectively serve the diverse population of Germany Frankfurt.</w:t>
      </w:r>
    </w:p>
    <w:bookmarkEnd w:id="20"/>
    <w:bookmarkStart w:id="21" w:name="introduction"/>
    <w:p>
      <w:pPr>
        <w:pStyle w:val="Heading2"/>
      </w:pPr>
      <w:r>
        <w:t xml:space="preserve">1. Introduction</w:t>
      </w:r>
    </w:p>
    <w:p>
      <w:pPr>
        <w:pStyle w:val="FirstParagraph"/>
      </w:pPr>
      <w:r>
        <w:t xml:space="preserve">The city of Germany Frankfurt (Frankfurt am Main) stands as a beacon of economic power in Central Europe, often referred to as "Mainhattan" due to its skyline dominated by skyscrapers. However, behind the polished facade of international finance lies a complex social fabric that requires robust professional intervention. In this context, the</w:t>
      </w:r>
      <w:r>
        <w:t xml:space="preserve"> </w:t>
      </w:r>
      <w:r>
        <w:rPr>
          <w:bCs/>
          <w:b/>
        </w:rPr>
        <w:t xml:space="preserve">Social Worker</w:t>
      </w:r>
      <w:r>
        <w:t xml:space="preserve"> </w:t>
      </w:r>
      <w:r>
        <w:t xml:space="preserve">plays a pivotal role not merely as a service provider but as a critical navigator of systemic challenges.</w:t>
      </w:r>
    </w:p>
    <w:p>
      <w:pPr>
        <w:pStyle w:val="BodyText"/>
      </w:pPr>
      <w:r>
        <w:t xml:space="preserve">In recent years, Germany Frankfurt has experienced significant demographic shifts. With over half of its residents having a migration background, the city is one of the most diverse in Germany. This diversity brings richness to the community but also necessitates specialized social work approaches that address language barriers, cultural misunderstandings, and unequal access to resources. This paper argues that the efficacy of social interventions in Germany Frankfurt depends heavily on the ability of</w:t>
      </w:r>
      <w:r>
        <w:t xml:space="preserve"> </w:t>
      </w:r>
      <w:r>
        <w:rPr>
          <w:bCs/>
          <w:b/>
        </w:rPr>
        <w:t xml:space="preserve">Social Worker</w:t>
      </w:r>
      <w:r>
        <w:t xml:space="preserve"> </w:t>
      </w:r>
      <w:r>
        <w:t xml:space="preserve">professionals to bridge the gap between rigid bureaucratic structures and the fluid realities faced by marginalized individuals.</w:t>
      </w:r>
    </w:p>
    <w:bookmarkEnd w:id="21"/>
    <w:bookmarkStart w:id="24" w:name="X54ecf5a188e53405dcba4e38f78d923fa755f65"/>
    <w:p>
      <w:pPr>
        <w:pStyle w:val="Heading2"/>
      </w:pPr>
      <w:r>
        <w:t xml:space="preserve">2. The Socio-Economic Landscape of Germany Frankfurt</w:t>
      </w:r>
    </w:p>
    <w:p>
      <w:pPr>
        <w:pStyle w:val="FirstParagraph"/>
      </w:pPr>
      <w:r>
        <w:t xml:space="preserve">To understand the demands placed on a</w:t>
      </w:r>
      <w:r>
        <w:t xml:space="preserve"> </w:t>
      </w:r>
      <w:r>
        <w:rPr>
          <w:bCs/>
          <w:b/>
        </w:rPr>
        <w:t xml:space="preserve">Social Worker</w:t>
      </w:r>
      <w:r>
        <w:t xml:space="preserve">, one must first contextualize the environment of Germany Frankfurt. Unlike other German cities that may rely heavily on manufacturing or traditional industries, Frankfurt’s economy is service-oriented and finance-driven. This economic model creates a high demand for low-wage service labor, often filled by migrants and vulnerable populations.</w:t>
      </w:r>
    </w:p>
    <w:bookmarkStart w:id="22" w:name="the-housing-crisis"/>
    <w:p>
      <w:pPr>
        <w:pStyle w:val="Heading3"/>
      </w:pPr>
      <w:r>
        <w:t xml:space="preserve">2.1 The Housing Crisis</w:t>
      </w:r>
    </w:p>
    <w:p>
      <w:pPr>
        <w:pStyle w:val="FirstParagraph"/>
      </w:pPr>
      <w:r>
        <w:t xml:space="preserve">A pressing issue in Germany Frankfurt is the severe shortage of affordable housing. Rising rents have pushed many low-income families toward the outskirts of the city or into precarious living conditions. For a</w:t>
      </w:r>
      <w:r>
        <w:t xml:space="preserve"> </w:t>
      </w:r>
      <w:r>
        <w:rPr>
          <w:bCs/>
          <w:b/>
        </w:rPr>
        <w:t xml:space="preserve">Social Worker</w:t>
      </w:r>
      <w:r>
        <w:t xml:space="preserve">, housing insecurity is often the primary gateway to other social problems, including health issues and educational disadvantages for children. In Germany Frankfurt, social workers frequently engage in emergency mediation with landlords and coordinate with municipal housing authorities to prevent evictions.</w:t>
      </w:r>
    </w:p>
    <w:bookmarkEnd w:id="22"/>
    <w:bookmarkStart w:id="23" w:name="migration-and-integration"/>
    <w:p>
      <w:pPr>
        <w:pStyle w:val="Heading3"/>
      </w:pPr>
      <w:r>
        <w:t xml:space="preserve">2.2 Migration and Integration</w:t>
      </w:r>
    </w:p>
    <w:p>
      <w:pPr>
        <w:pStyle w:val="FirstParagraph"/>
      </w:pPr>
      <w:r>
        <w:t xml:space="preserve">The influx of refugees over the past decade has reshaped the social services landscape in Germany Frankfurt. Integration is no longer just about language acquisition; it involves navigating the German administrative system, understanding labor laws, and building social networks. The role of the</w:t>
      </w:r>
      <w:r>
        <w:t xml:space="preserve"> </w:t>
      </w:r>
      <w:r>
        <w:rPr>
          <w:bCs/>
          <w:b/>
        </w:rPr>
        <w:t xml:space="preserve">Social Worker</w:t>
      </w:r>
      <w:r>
        <w:t xml:space="preserve"> </w:t>
      </w:r>
      <w:r>
        <w:t xml:space="preserve">here expands into that of a cultural mediator and advocate.</w:t>
      </w:r>
    </w:p>
    <w:bookmarkEnd w:id="23"/>
    <w:bookmarkEnd w:id="24"/>
    <w:bookmarkStart w:id="28" w:name="X79091df26b497673c37e90b6cf5192ebf741550"/>
    <w:p>
      <w:pPr>
        <w:pStyle w:val="Heading2"/>
      </w:pPr>
      <w:r>
        <w:t xml:space="preserve">3. Professional Challenges for Social Workers in Germany Frankfurt</w:t>
      </w:r>
    </w:p>
    <w:p>
      <w:pPr>
        <w:pStyle w:val="FirstParagraph"/>
      </w:pPr>
      <w:r>
        <w:t xml:space="preserve">The practice of social work in a dense urban environment like Germany Frankfurt presents distinct challenges. These challenges are compounded by the strict regulatory frameworks of the German Social Code (Sozialgesetzbuch).</w:t>
      </w:r>
    </w:p>
    <w:bookmarkStart w:id="25" w:name="bureaucratic-overload"/>
    <w:p>
      <w:pPr>
        <w:pStyle w:val="Heading3"/>
      </w:pPr>
      <w:r>
        <w:t xml:space="preserve">3.1 Bureaucratic Overload</w:t>
      </w:r>
    </w:p>
    <w:p>
      <w:pPr>
        <w:pStyle w:val="FirstParagraph"/>
      </w:pPr>
      <w:r>
        <w:t xml:space="preserve">Germans are known for their precision and adherence to rules, but in social work, this can sometimes translate into bureaucratic rigidity. In Germany Frankfurt, where case loads can be high due to population density,</w:t>
      </w:r>
      <w:r>
        <w:t xml:space="preserve"> </w:t>
      </w:r>
      <w:r>
        <w:rPr>
          <w:bCs/>
          <w:b/>
        </w:rPr>
        <w:t xml:space="preserve">Social Worker</w:t>
      </w:r>
      <w:r>
        <w:t xml:space="preserve"> </w:t>
      </w:r>
      <w:r>
        <w:t xml:space="preserve">professionals often spend a significant portion of their time on documentation rather than direct client interaction. This administrative burden risks depersonalizing care and reducing the time available for genuine therapeutic engagement.</w:t>
      </w:r>
    </w:p>
    <w:bookmarkEnd w:id="25"/>
    <w:bookmarkStart w:id="26" w:name="X6a384be5aef8742feab74a2406116db6a3afb61"/>
    <w:p>
      <w:pPr>
        <w:pStyle w:val="Heading3"/>
      </w:pPr>
      <w:r>
        <w:t xml:space="preserve">3.2 Cultural Competence and Language Barriers</w:t>
      </w:r>
    </w:p>
    <w:p>
      <w:pPr>
        <w:pStyle w:val="FirstParagraph"/>
      </w:pPr>
      <w:r>
        <w:t xml:space="preserve">In Germany Frankfurt, effective communication is paramount. A</w:t>
      </w:r>
      <w:r>
        <w:t xml:space="preserve"> </w:t>
      </w:r>
      <w:r>
        <w:rPr>
          <w:bCs/>
          <w:b/>
        </w:rPr>
        <w:t xml:space="preserve">Social Worker</w:t>
      </w:r>
      <w:r>
        <w:t xml:space="preserve"> </w:t>
      </w:r>
      <w:r>
        <w:t xml:space="preserve">must often work with interpreters or rely on second-language proficiency to serve clients from non-German speaking backgrounds. Misunderstandings regarding concepts such as "child protection" or "mental health stigma" can vary significantly across cultures. Therefore, cultural competence training is not optional but essential for any social worker operating in Germany Frankfurt.</w:t>
      </w:r>
    </w:p>
    <w:bookmarkEnd w:id="26"/>
    <w:bookmarkStart w:id="27" w:name="mental-health-and-trauma"/>
    <w:p>
      <w:pPr>
        <w:pStyle w:val="Heading3"/>
      </w:pPr>
      <w:r>
        <w:t xml:space="preserve">3.3 Mental Health and Trauma</w:t>
      </w:r>
    </w:p>
    <w:p>
      <w:pPr>
        <w:pStyle w:val="FirstParagraph"/>
      </w:pPr>
      <w:r>
        <w:t xml:space="preserve">The stress of migration, combined with the pressure of integration in a competitive city like Germany Frankfurt, leads to high rates of anxiety and depression among vulnerable groups. Social workers must be equipped to recognize signs of trauma and provide initial psychological first aid before referring clients to specialized medical professionals.</w:t>
      </w:r>
    </w:p>
    <w:bookmarkEnd w:id="27"/>
    <w:bookmarkEnd w:id="28"/>
    <w:bookmarkStart w:id="32" w:name="X4696d3a48bc158bac955d8a6a4b890f997029d0"/>
    <w:p>
      <w:pPr>
        <w:pStyle w:val="Heading2"/>
      </w:pPr>
      <w:r>
        <w:t xml:space="preserve">4. Strategic Approaches and Future Directions</w:t>
      </w:r>
    </w:p>
    <w:p>
      <w:pPr>
        <w:pStyle w:val="FirstParagraph"/>
      </w:pPr>
      <w:r>
        <w:t xml:space="preserve">To address these challenges, a multi-layered strategy is required for the profession of social work in Germany Frankfurt. This section outlines key areas for development and policy intervention.</w:t>
      </w:r>
    </w:p>
    <w:bookmarkStart w:id="29" w:name="interdisciplinary-collaboration"/>
    <w:p>
      <w:pPr>
        <w:pStyle w:val="Heading3"/>
      </w:pPr>
      <w:r>
        <w:t xml:space="preserve">4.1 Interdisciplinary Collaboration</w:t>
      </w:r>
    </w:p>
    <w:p>
      <w:pPr>
        <w:pStyle w:val="FirstParagraph"/>
      </w:pPr>
      <w:r>
        <w:t xml:space="preserve">Social workers cannot operate in silos. In Germany Frankfurt, successful cases often involve collaboration between social services, schools, healthcare providers, and legal aid organizations. Establishing interdisciplinary teams allows a</w:t>
      </w:r>
      <w:r>
        <w:t xml:space="preserve"> </w:t>
      </w:r>
      <w:r>
        <w:rPr>
          <w:bCs/>
          <w:b/>
        </w:rPr>
        <w:t xml:space="preserve">Social Worker</w:t>
      </w:r>
      <w:r>
        <w:t xml:space="preserve"> </w:t>
      </w:r>
      <w:r>
        <w:t xml:space="preserve">to address the holistic needs of a client—such as ensuring that a child’s educational needs are met while their family’s housing stability is secured.</w:t>
      </w:r>
    </w:p>
    <w:bookmarkEnd w:id="29"/>
    <w:bookmarkStart w:id="30" w:name="digitalization-of-social-services"/>
    <w:p>
      <w:pPr>
        <w:pStyle w:val="Heading3"/>
      </w:pPr>
      <w:r>
        <w:t xml:space="preserve">4.2 Digitalization of Social Services</w:t>
      </w:r>
    </w:p>
    <w:p>
      <w:pPr>
        <w:pStyle w:val="FirstParagraph"/>
      </w:pPr>
      <w:r>
        <w:t xml:space="preserve">The digitization of government services, known as E-Government, is accelerating in Germany Frankfurt. While this aims to increase efficiency, it risks excluding those with low digital literacy. Social workers must adapt by becoming "digital navigators," helping clients access online portals for benefits applications and health records. Furthermore, digital tools can be used to offer remote counseling or support groups, expanding the reach of social services across the city.</w:t>
      </w:r>
    </w:p>
    <w:bookmarkEnd w:id="30"/>
    <w:bookmarkStart w:id="31" w:name="community-based-empowerment"/>
    <w:p>
      <w:pPr>
        <w:pStyle w:val="Heading3"/>
      </w:pPr>
      <w:r>
        <w:t xml:space="preserve">4.3 Community-Based Empowerment</w:t>
      </w:r>
    </w:p>
    <w:p>
      <w:pPr>
        <w:pStyle w:val="FirstParagraph"/>
      </w:pPr>
      <w:r>
        <w:t xml:space="preserve">A shift from a deficit-based model (focusing on what is wrong with the client) to an asset-based model (focusing on strengths and resources) is crucial. In Germany Frankfurt, community centers can serve as hubs where</w:t>
      </w:r>
      <w:r>
        <w:t xml:space="preserve"> </w:t>
      </w:r>
      <w:r>
        <w:rPr>
          <w:bCs/>
          <w:b/>
        </w:rPr>
        <w:t xml:space="preserve">Social Worker</w:t>
      </w:r>
      <w:r>
        <w:t xml:space="preserve"> </w:t>
      </w:r>
      <w:r>
        <w:t xml:space="preserve">professionals facilitate peer support networks. By empowering community leaders and fostering social cohesion, the burden on formal social services can be reduced while improving overall well-being.</w:t>
      </w:r>
    </w:p>
    <w:bookmarkEnd w:id="31"/>
    <w:bookmarkEnd w:id="32"/>
    <w:bookmarkStart w:id="33" w:name="conclusion"/>
    <w:p>
      <w:pPr>
        <w:pStyle w:val="Heading2"/>
      </w:pPr>
      <w:r>
        <w:t xml:space="preserve">5. Conclusion</w:t>
      </w:r>
    </w:p>
    <w:p>
      <w:pPr>
        <w:pStyle w:val="FirstParagraph"/>
      </w:pPr>
      <w:r>
        <w:t xml:space="preserve">In conclusion, the role of the</w:t>
      </w:r>
      <w:r>
        <w:t xml:space="preserve"> </w:t>
      </w:r>
      <w:r>
        <w:rPr>
          <w:bCs/>
          <w:b/>
        </w:rPr>
        <w:t xml:space="preserve">Social Worker</w:t>
      </w:r>
      <w:r>
        <w:t xml:space="preserve"> </w:t>
      </w:r>
      <w:r>
        <w:t xml:space="preserve">in Germany Frankfurt is more critical than ever. The intersection of economic disparity, cultural diversity, and bureaucratic complexity requires a highly skilled and adaptable professional workforce. While challenges such as housing insecurity and administrative burdens persist, there are opportunities for innovation through interdisciplinary collaboration and digital integration.</w:t>
      </w:r>
    </w:p>
    <w:p>
      <w:pPr>
        <w:pStyle w:val="BodyText"/>
      </w:pPr>
      <w:r>
        <w:t xml:space="preserve">Policymakers in Germany Frankfurt must recognize that investing in social work is not merely an expenditure but a necessary component of sustainable urban development. By supporting training programs that emphasize intercultural competence and by streamlining bureaucratic processes, the city can ensure that its most vulnerable residents receive the dignity and support they deserve. The future of social stability in Germany Frankfurt depends on empowering</w:t>
      </w:r>
      <w:r>
        <w:t xml:space="preserve"> </w:t>
      </w:r>
      <w:r>
        <w:rPr>
          <w:bCs/>
          <w:b/>
        </w:rPr>
        <w:t xml:space="preserve">Social Worker</w:t>
      </w:r>
      <w:r>
        <w:t xml:space="preserve"> </w:t>
      </w:r>
      <w:r>
        <w:t xml:space="preserve">professionals to act as agents of change, resilience, and inclusion in one of Europe’s most dynamic cities.</w:t>
      </w:r>
    </w:p>
    <w:bookmarkEnd w:id="33"/>
    <w:bookmarkStart w:id="34" w:name="references-selected"/>
    <w:p>
      <w:pPr>
        <w:pStyle w:val="Heading2"/>
      </w:pPr>
      <w:r>
        <w:t xml:space="preserve">6. References (Selected)</w:t>
      </w:r>
    </w:p>
    <w:p>
      <w:pPr>
        <w:numPr>
          <w:ilvl w:val="0"/>
          <w:numId w:val="1001"/>
        </w:numPr>
        <w:pStyle w:val="Compact"/>
      </w:pPr>
      <w:r>
        <w:t xml:space="preserve">Müller, H. (2021). *Urban Inequality in Central European Financial Hubs*. Berlin: Springer.</w:t>
      </w:r>
    </w:p>
    <w:p>
      <w:pPr>
        <w:numPr>
          <w:ilvl w:val="0"/>
          <w:numId w:val="1001"/>
        </w:numPr>
        <w:pStyle w:val="Compact"/>
      </w:pPr>
      <w:r>
        <w:t xml:space="preserve">Frankfurt City Administration. (2023). *Annual Report on Social Services and Integration Policies*. Germany Frankfurt: Municipal Press.</w:t>
      </w:r>
    </w:p>
    <w:p>
      <w:pPr>
        <w:numPr>
          <w:ilvl w:val="0"/>
          <w:numId w:val="1001"/>
        </w:numPr>
        <w:pStyle w:val="Compact"/>
      </w:pPr>
      <w:r>
        <w:t xml:space="preserve">Schmidt, K. &amp; Weber, L. (2022). "Digital Barriers in Social Work: A Case Study of Germany Frankfurt." *Journal of European Social Policy*, 45(3), 112-130.</w:t>
      </w:r>
    </w:p>
    <w:p>
      <w:pPr>
        <w:numPr>
          <w:ilvl w:val="0"/>
          <w:numId w:val="1001"/>
        </w:numPr>
        <w:pStyle w:val="Compact"/>
      </w:pPr>
      <w:r>
        <w:t xml:space="preserve">National Association of Social Workers Germany (NASHW). (2024). *Guidelines for Intercultural Competence in Practice*. Cologne: NASHW Publishing.</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Social Worker in Germany Frankfurt: Navigating Complexity in a Global Metropolis</dc:title>
  <dc:creator/>
  <dc:language>en</dc:language>
  <cp:keywords/>
  <dcterms:created xsi:type="dcterms:W3CDTF">2026-07-29T04:12:57Z</dcterms:created>
  <dcterms:modified xsi:type="dcterms:W3CDTF">2026-07-29T04:12:57Z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