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Complexity,</w:t>
      </w:r>
      <w:r>
        <w:t xml:space="preserve"> </w:t>
      </w:r>
      <w:r>
        <w:t xml:space="preserve">Equity,</w:t>
      </w:r>
      <w:r>
        <w:t xml:space="preserve"> </w:t>
      </w:r>
      <w:r>
        <w:t xml:space="preserve">and</w:t>
      </w:r>
      <w:r>
        <w:t xml:space="preserve"> </w:t>
      </w:r>
      <w:r>
        <w:t xml:space="preserve">Community</w:t>
      </w:r>
      <w:r>
        <w:t xml:space="preserve"> </w:t>
      </w:r>
      <w:r>
        <w:t xml:space="preserve">Resilience</w:t>
      </w:r>
    </w:p>
    <w:bookmarkStart w:id="28" w:name="Xdaab19887041480c1d6b6bc342ec462a2329b9b"/>
    <w:p>
      <w:pPr>
        <w:pStyle w:val="Heading1"/>
      </w:pPr>
      <w:r>
        <w:t xml:space="preserve">The Evolving Role of Social Workers in New Zealand Auckland:</w:t>
      </w:r>
      <w:r>
        <w:br/>
      </w:r>
      <w:r>
        <w:t xml:space="preserve">Navigating Complexity, Equity, and Community Resilience</w:t>
      </w:r>
    </w:p>
    <w:p>
      <w:pPr>
        <w:pStyle w:val="FirstParagraph"/>
      </w:pPr>
      <w:r>
        <w:rPr>
          <w:bCs/>
          <w:b/>
        </w:rPr>
        <w:t xml:space="preserve">Author:</w:t>
      </w:r>
      <w:r>
        <w:t xml:space="preserve"> </w:t>
      </w:r>
      <w:r>
        <w:t xml:space="preserve">[Your Name/Pseudonym]</w:t>
      </w:r>
      <w:r>
        <w:br/>
      </w:r>
      <w:r>
        <w:rPr>
          <w:bCs/>
          <w:b/>
        </w:rPr>
        <w:t xml:space="preserve">Affiliation:</w:t>
      </w:r>
      <w:r>
        <w:t xml:space="preserve"> </w:t>
      </w:r>
      <w:r>
        <w:t xml:space="preserve">Department of Social Services &amp; Policy Studies</w:t>
      </w:r>
      <w:r>
        <w:br/>
      </w:r>
      <w:r>
        <w:rPr>
          <w:bCs/>
          <w:b/>
        </w:rPr>
        <w:t xml:space="preserve">Date:</w:t>
      </w:r>
      <w:r>
        <w:t xml:space="preserve"> </w:t>
      </w:r>
      <w:r>
        <w:t xml:space="preserve">October 2023</w:t>
      </w:r>
      <w:r>
        <w:br/>
      </w:r>
      <w:r>
        <w:t xml:space="preserve">New Zealand Auckland</w:t>
      </w:r>
    </w:p>
    <w:bookmarkStart w:id="20" w:name="abstract"/>
    <w:p>
      <w:pPr>
        <w:pStyle w:val="Heading3"/>
      </w:pPr>
      <w:r>
        <w:rPr>
          <w:bCs/>
          <w:b/>
          <w:u w:val="single"/>
        </w:rPr>
        <w:t xml:space="preserve">Abstract</w:t>
      </w:r>
    </w:p>
    <w:p>
      <w:pPr>
        <w:pStyle w:val="FirstParagraph"/>
      </w:pPr>
      <w:r>
        <w:t xml:space="preserve">This paper examines the critical role of the Social Worker within the unique socio-political and cultural landscape of New Zealand Auckland. As Auckland serves as the primary engine of economic growth and demographic diversity in Aotearoa, it presents a complex array of social challenges ranging from urban poverty to indigenous inequality. This document explores how Social Workers in New Zealand Auckland are adapting their practices to align with Te Tiriti o Waitangi obligations, addressing systemic inequities, and leveraging community resilience. By analyzing current trends in mental health support, child welfare, and cross-cultural competency, this paper argues for a strengthened advocacy model that empowers vulnerable populations while maintaining high ethical standards.</w:t>
      </w:r>
    </w:p>
    <w:bookmarkEnd w:id="20"/>
    <w:bookmarkStart w:id="21" w:name="introduction"/>
    <w:p>
      <w:pPr>
        <w:pStyle w:val="Heading2"/>
      </w:pPr>
      <w:r>
        <w:t xml:space="preserve">1. Introduction</w:t>
      </w:r>
    </w:p>
    <w:p>
      <w:pPr>
        <w:pStyle w:val="FirstParagraph"/>
      </w:pPr>
      <w:r>
        <w:t xml:space="preserve">New Zealand Auckland stands as a beacon of multicultural dynamism in the Pacific region, yet beneath its urban veneer lies a stratified society facing significant social determinants of health and well-being. The city is home to the largest concentration of Māori, Pasifika, and migrant populations in the country. Consequently, the role of the</w:t>
      </w:r>
      <w:r>
        <w:t xml:space="preserve"> </w:t>
      </w:r>
      <w:r>
        <w:rPr>
          <w:bCs/>
          <w:b/>
        </w:rPr>
        <w:t xml:space="preserve">Social Worker</w:t>
      </w:r>
      <w:r>
        <w:t xml:space="preserve"> </w:t>
      </w:r>
      <w:r>
        <w:t xml:space="preserve">in this context is not merely administrative but fundamentally transformative. This conference paper aims to dissect these multifaceted responsibilities, highlighting how Social Workers operate as agents of change in one of New Zealand's most populous and diverse metropolitan areas.</w:t>
      </w:r>
    </w:p>
    <w:p>
      <w:pPr>
        <w:pStyle w:val="BodyText"/>
      </w:pPr>
      <w:r>
        <w:t xml:space="preserve">The urgency for robust social services has been amplified by recent global disruptions, including the post-pandemic economic shifts and the ongoing housing crisis. In</w:t>
      </w:r>
      <w:r>
        <w:t xml:space="preserve"> </w:t>
      </w:r>
      <w:r>
        <w:rPr>
          <w:bCs/>
          <w:b/>
        </w:rPr>
        <w:t xml:space="preserve">New Zealand Auckland</w:t>
      </w:r>
      <w:r>
        <w:t xml:space="preserve">, these factors have converged to create a "pressure cooker" effect on vulnerable families. Therefore, understanding the specific interventions required in this locale is essential for policymakers, practitioners, and academic stakeholders alike.</w:t>
      </w:r>
    </w:p>
    <w:bookmarkEnd w:id="21"/>
    <w:bookmarkStart w:id="22" w:name="X95bcb0768c1f4c31dc35fe2086536d5951c93d4"/>
    <w:p>
      <w:pPr>
        <w:pStyle w:val="Heading2"/>
      </w:pPr>
      <w:r>
        <w:t xml:space="preserve">2. Te Tiriti o Waitangi and Structural Competency</w:t>
      </w:r>
    </w:p>
    <w:p>
      <w:pPr>
        <w:pStyle w:val="FirstParagraph"/>
      </w:pPr>
      <w:r>
        <w:t xml:space="preserve">A foundational aspect of practicing as a Social Worker in New Zealand is the adherence to Te Tiriti o Waitangi (The Treaty of Waitangi). In Auckland, where indigenous Māori constitute a significant demographic, social work practice must be deeply rooted in biculturalism. This goes beyond tokenistic inclusion; it requires structural competency.</w:t>
      </w:r>
    </w:p>
    <w:p>
      <w:pPr>
        <w:pStyle w:val="BodyText"/>
      </w:pPr>
      <w:r>
        <w:t xml:space="preserve">Social Workers in</w:t>
      </w:r>
      <w:r>
        <w:t xml:space="preserve"> </w:t>
      </w:r>
      <w:r>
        <w:rPr>
          <w:bCs/>
          <w:b/>
        </w:rPr>
        <w:t xml:space="preserve">New Zealand Auckland</w:t>
      </w:r>
      <w:r>
        <w:t xml:space="preserve"> </w:t>
      </w:r>
      <w:r>
        <w:t xml:space="preserve">are increasingly expected to:</w:t>
      </w:r>
    </w:p>
    <w:p>
      <w:pPr>
        <w:numPr>
          <w:ilvl w:val="0"/>
          <w:numId w:val="1001"/>
        </w:numPr>
        <w:pStyle w:val="Compact"/>
      </w:pPr>
      <w:r>
        <w:rPr>
          <w:bCs/>
          <w:b/>
        </w:rPr>
        <w:t xml:space="preserve">Acknowledge Historical Trauma:</w:t>
      </w:r>
      <w:r>
        <w:t xml:space="preserve"> </w:t>
      </w:r>
      <w:r>
        <w:t xml:space="preserve">Understand the intergenerational impacts of colonization on Māori and Pasifika communities.</w:t>
      </w:r>
    </w:p>
    <w:p>
      <w:pPr>
        <w:numPr>
          <w:ilvl w:val="0"/>
          <w:numId w:val="1001"/>
        </w:numPr>
        <w:pStyle w:val="Compact"/>
      </w:pPr>
      <w:r>
        <w:rPr>
          <w:bCs/>
          <w:b/>
        </w:rPr>
        <w:t xml:space="preserve">Promote Self-Determination (Tino Rangatiratanga):</w:t>
      </w:r>
      <w:r>
        <w:t xml:space="preserve"> </w:t>
      </w:r>
      <w:r>
        <w:t xml:space="preserve">Work alongside iwi (tribal) organizations rather than imposing external solutions.</w:t>
      </w:r>
    </w:p>
    <w:p>
      <w:pPr>
        <w:numPr>
          <w:ilvl w:val="0"/>
          <w:numId w:val="1001"/>
        </w:numPr>
        <w:pStyle w:val="Compact"/>
      </w:pPr>
      <w:r>
        <w:rPr>
          <w:bCs/>
          <w:b/>
        </w:rPr>
        <w:t xml:space="preserve">Active Protection:</w:t>
      </w:r>
      <w:r>
        <w:t xml:space="preserve"> </w:t>
      </w:r>
      <w:r>
        <w:t xml:space="preserve">Advocate for policies that protect Māori taonga (treasures) and wellbeing, including language and culture preservation.</w:t>
      </w:r>
    </w:p>
    <w:p>
      <w:pPr>
        <w:pStyle w:val="FirstParagraph"/>
      </w:pPr>
      <w:r>
        <w:t xml:space="preserve">Failing to integrate these principles results in systemic bias within child protection and mental health services. Thus, a Social Worker must be a cultural broker, ensuring that service delivery respects tikanga (customs) while navigating the Western legal frameworks of the state.</w:t>
      </w:r>
    </w:p>
    <w:bookmarkEnd w:id="22"/>
    <w:bookmarkStart w:id="23" w:name="urban-poverty-and-housing-instability"/>
    <w:p>
      <w:pPr>
        <w:pStyle w:val="Heading2"/>
      </w:pPr>
      <w:r>
        <w:t xml:space="preserve">3. Urban Poverty and Housing Instability</w:t>
      </w:r>
    </w:p>
    <w:p>
      <w:pPr>
        <w:pStyle w:val="FirstParagraph"/>
      </w:pPr>
      <w:r>
        <w:t xml:space="preserve">Auckland is currently grappling with one of its most severe housing crises. The skyrocketing cost of living has forced many low-income families into overcrowded or substandard housing, directly impacting child development and mental health outcomes. Here, the Social Worker plays a pivotal advocacy role.</w:t>
      </w:r>
    </w:p>
    <w:p>
      <w:pPr>
        <w:pStyle w:val="BodyText"/>
      </w:pPr>
      <w:r>
        <w:t xml:space="preserve">In this context, the Social Worker in</w:t>
      </w:r>
      <w:r>
        <w:t xml:space="preserve"> </w:t>
      </w:r>
      <w:r>
        <w:rPr>
          <w:bCs/>
          <w:b/>
        </w:rPr>
        <w:t xml:space="preserve">New Zealand Auckland</w:t>
      </w:r>
      <w:r>
        <w:t xml:space="preserve"> </w:t>
      </w:r>
      <w:r>
        <w:t xml:space="preserve">functions as:</w:t>
      </w:r>
    </w:p>
    <w:p>
      <w:pPr>
        <w:numPr>
          <w:ilvl w:val="0"/>
          <w:numId w:val="1002"/>
        </w:numPr>
        <w:pStyle w:val="Compact"/>
      </w:pPr>
      <w:r>
        <w:rPr>
          <w:bCs/>
          <w:b/>
        </w:rPr>
        <w:t xml:space="preserve">Navigators:</w:t>
      </w:r>
      <w:r>
        <w:t xml:space="preserve"> </w:t>
      </w:r>
      <w:r>
        <w:t xml:space="preserve">Helping clients access emergency housing support, food banks, and financial counseling.</w:t>
      </w:r>
    </w:p>
    <w:p>
      <w:pPr>
        <w:numPr>
          <w:ilvl w:val="0"/>
          <w:numId w:val="1002"/>
        </w:numPr>
        <w:pStyle w:val="Compact"/>
      </w:pPr>
      <w:r>
        <w:rPr>
          <w:bCs/>
          <w:b/>
        </w:rPr>
        <w:t xml:space="preserve">Caseworkers:</w:t>
      </w:r>
      <w:r>
        <w:t xml:space="preserve"> </w:t>
      </w:r>
      <w:r>
        <w:t xml:space="preserve">Managing complex cases where domestic violence intersects with economic hardship.</w:t>
      </w:r>
    </w:p>
    <w:p>
      <w:pPr>
        <w:numPr>
          <w:ilvl w:val="0"/>
          <w:numId w:val="1002"/>
        </w:numPr>
        <w:pStyle w:val="Compact"/>
      </w:pPr>
      <w:r>
        <w:rPr>
          <w:bCs/>
          <w:b/>
        </w:rPr>
        <w:t xml:space="preserve">Policymakers’ Advisors:</w:t>
      </w:r>
      <w:r>
        <w:t xml:space="preserve"> </w:t>
      </w:r>
      <w:r>
        <w:t xml:space="preserve">Providing ground-level data to inform municipal and national housing strategies.</w:t>
      </w:r>
    </w:p>
    <w:p>
      <w:pPr>
        <w:pStyle w:val="FirstParagraph"/>
      </w:pPr>
      <w:r>
        <w:t xml:space="preserve">The intersectionality of poverty means that a Social Worker cannot treat symptoms in isolation. They must address the root causes, advocating for living wages and affordable housing initiatives within the Auckland metropolitan region.</w:t>
      </w:r>
    </w:p>
    <w:bookmarkEnd w:id="23"/>
    <w:bookmarkStart w:id="24" w:name="mental-health-and-youth-welfare"/>
    <w:p>
      <w:pPr>
        <w:pStyle w:val="Heading2"/>
      </w:pPr>
      <w:r>
        <w:t xml:space="preserve">4. Mental Health and Youth Welfare</w:t>
      </w:r>
    </w:p>
    <w:p>
      <w:pPr>
        <w:pStyle w:val="FirstParagraph"/>
      </w:pPr>
      <w:r>
        <w:t xml:space="preserve">The mental health landscape in New Zealand is under immense strain. In Auckland, youth welfare is a particular concern, with rising rates of anxiety, depression, and suicide among adolescents. The Social Worker acts as a crucial frontline responder in schools, hospitals, and community centers.</w:t>
      </w:r>
    </w:p>
    <w:p>
      <w:pPr>
        <w:pStyle w:val="BodyText"/>
      </w:pPr>
      <w:r>
        <w:t xml:space="preserve">Effective practice requires:</w:t>
      </w:r>
    </w:p>
    <w:p>
      <w:pPr>
        <w:numPr>
          <w:ilvl w:val="0"/>
          <w:numId w:val="1003"/>
        </w:numPr>
        <w:pStyle w:val="Compact"/>
      </w:pPr>
      <w:r>
        <w:rPr>
          <w:bCs/>
          <w:b/>
        </w:rPr>
        <w:t xml:space="preserve">Trauma-Informed Care:</w:t>
      </w:r>
      <w:r>
        <w:t xml:space="preserve"> </w:t>
      </w:r>
      <w:r>
        <w:t xml:space="preserve">Recognizing that behavioral issues are often responses to past trauma rather than defiance.</w:t>
      </w:r>
    </w:p>
    <w:p>
      <w:pPr>
        <w:numPr>
          <w:ilvl w:val="0"/>
          <w:numId w:val="1003"/>
        </w:numPr>
        <w:pStyle w:val="Compact"/>
      </w:pPr>
      <w:r>
        <w:t xml:space="preserve">Crisis Intervention:&gt; Rapid response capabilities for youth in distress, coordinating with emergency services and health providers.</w:t>
      </w:r>
    </w:p>
    <w:p>
      <w:pPr>
        <w:numPr>
          <w:ilvl w:val="0"/>
          <w:numId w:val="1003"/>
        </w:numPr>
        <w:pStyle w:val="Compact"/>
      </w:pPr>
      <w:r>
        <w:rPr>
          <w:bCs/>
          <w:b/>
        </w:rPr>
        <w:t xml:space="preserve">School-Based Support:</w:t>
      </w:r>
    </w:p>
    <w:p>
      <w:pPr>
        <w:numPr>
          <w:ilvl w:val="0"/>
          <w:numId w:val="1000"/>
        </w:numPr>
        <w:pStyle w:val="Compact"/>
      </w:pPr>
      <w:r>
        <w:t xml:space="preserve">Working within educational settings to identify at-risk students early, providing a safe space for disclosure and support.</w:t>
      </w:r>
    </w:p>
    <w:p>
      <w:pPr>
        <w:pStyle w:val="FirstParagraph"/>
      </w:pPr>
      <w:r>
        <w:t xml:space="preserve">In</w:t>
      </w:r>
      <w:r>
        <w:t xml:space="preserve"> </w:t>
      </w:r>
      <w:r>
        <w:rPr>
          <w:bCs/>
          <w:b/>
        </w:rPr>
        <w:t xml:space="preserve">New Zealand Auckland</w:t>
      </w:r>
      <w:r>
        <w:t xml:space="preserve">, the diversity of the youth population necessitates culturally responsive mental health strategies. A one-size-fits-all approach is ineffective; instead, Social Workers must tailor interventions to respect the cultural identities of Pasifika, Asian, and European youth alike.</w:t>
      </w:r>
    </w:p>
    <w:bookmarkEnd w:id="24"/>
    <w:bookmarkStart w:id="25" w:name="digital-equity-and-modern-challenges"/>
    <w:p>
      <w:pPr>
        <w:pStyle w:val="Heading2"/>
      </w:pPr>
      <w:r>
        <w:t xml:space="preserve">5. Digital Equity and Modern Challenges</w:t>
      </w:r>
    </w:p>
    <w:p>
      <w:pPr>
        <w:pStyle w:val="FirstParagraph"/>
      </w:pPr>
      <w:r>
        <w:t xml:space="preserve">The digital divide remains a significant barrier in</w:t>
      </w:r>
      <w:r>
        <w:t xml:space="preserve"> </w:t>
      </w:r>
      <w:r>
        <w:rPr>
          <w:bCs/>
          <w:b/>
        </w:rPr>
        <w:t xml:space="preserve">New Zealand Auckland</w:t>
      </w:r>
      <w:r>
        <w:t xml:space="preserve">. Many vulnerable families lack access to high-speed internet or devices, which hinders their ability to apply for benefits, attend virtual therapy sessions, or maintain educational continuity. Social Workers must now incorporate digital literacy into their advocacy.</w:t>
      </w:r>
    </w:p>
    <w:p>
      <w:pPr>
        <w:pStyle w:val="BodyText"/>
      </w:pPr>
      <w:r>
        <w:t xml:space="preserve">This modern dimension of social work involves:</w:t>
      </w:r>
    </w:p>
    <w:p>
      <w:pPr>
        <w:numPr>
          <w:ilvl w:val="0"/>
          <w:numId w:val="1004"/>
        </w:numPr>
        <w:pStyle w:val="Compact"/>
      </w:pPr>
      <w:r>
        <w:rPr>
          <w:bCs/>
          <w:b/>
        </w:rPr>
        <w:t xml:space="preserve">Digital Advocacy:</w:t>
      </w:r>
    </w:p>
    <w:p>
      <w:pPr>
        <w:numPr>
          <w:ilvl w:val="0"/>
          <w:numId w:val="1004"/>
        </w:numPr>
        <w:pStyle w:val="Compact"/>
      </w:pPr>
      <w:r>
        <w:rPr>
          <w:bCs/>
          <w:b/>
        </w:rPr>
        <w:t xml:space="preserve">E-Social Work:</w:t>
      </w:r>
    </w:p>
    <w:p>
      <w:pPr>
        <w:numPr>
          <w:ilvl w:val="0"/>
          <w:numId w:val="1000"/>
        </w:numPr>
        <w:pStyle w:val="Compact"/>
      </w:pPr>
      <w:r>
        <w:t xml:space="preserve">Utilizing secure digital platforms for remote case management, ensuring privacy and accessibility during times when physical presence is limited.</w:t>
      </w:r>
    </w:p>
    <w:bookmarkEnd w:id="25"/>
    <w:bookmarkStart w:id="27" w:name="conclusion-and-recommendations"/>
    <w:p>
      <w:pPr>
        <w:pStyle w:val="Heading2"/>
      </w:pPr>
      <w:r>
        <w:t xml:space="preserve">6. Conclusion and Recommendations</w:t>
      </w:r>
    </w:p>
    <w:p>
      <w:pPr>
        <w:pStyle w:val="FirstParagraph"/>
      </w:pPr>
      <w:r>
        <w:t xml:space="preserve">The role of the Social Worker in</w:t>
      </w:r>
      <w:r>
        <w:t xml:space="preserve"> </w:t>
      </w:r>
      <w:r>
        <w:rPr>
          <w:bCs/>
          <w:b/>
        </w:rPr>
        <w:t xml:space="preserve">New Zealand Auckland</w:t>
      </w:r>
      <w:r>
        <w:t xml:space="preserve"> </w:t>
      </w:r>
      <w:r>
        <w:t xml:space="preserve">is more vital than ever. It is a role defined by complexity, requiring a blend of clinical skill, political advocacy, and deep cultural humility. To enhance the efficacy of social work practice in this region, we propose the following recommendations:</w:t>
      </w:r>
    </w:p>
    <w:p>
      <w:pPr>
        <w:numPr>
          <w:ilvl w:val="0"/>
          <w:numId w:val="1005"/>
        </w:numPr>
        <w:pStyle w:val="Compact"/>
      </w:pPr>
      <w:r>
        <w:rPr>
          <w:bCs/>
          <w:b/>
        </w:rPr>
        <w:t xml:space="preserve">Increased Funding for Community-Led Initiatives:</w:t>
      </w:r>
      <w:r>
        <w:t xml:space="preserve"> </w:t>
      </w:r>
      <w:r>
        <w:t xml:space="preserve">Direct resources to iwi-led and community-based organizations that demonstrate trust with marginalized groups.</w:t>
      </w:r>
    </w:p>
    <w:p>
      <w:pPr>
        <w:numPr>
          <w:ilvl w:val="0"/>
          <w:numId w:val="1005"/>
        </w:numPr>
        <w:pStyle w:val="Compact"/>
      </w:pPr>
      <w:r>
        <w:rPr>
          <w:bCs/>
          <w:b/>
        </w:rPr>
        <w:t xml:space="preserve">Cultural Competency Training:</w:t>
      </w:r>
    </w:p>
    <w:p>
      <w:pPr>
        <w:numPr>
          <w:ilvl w:val="0"/>
          <w:numId w:val="1005"/>
        </w:numPr>
        <w:pStyle w:val="Compact"/>
      </w:pPr>
      <w:r>
        <w:rPr>
          <w:bCs/>
          <w:b/>
        </w:rPr>
        <w:t xml:space="preserve">Inter-Agency Collaboration:</w:t>
      </w:r>
    </w:p>
    <w:p>
      <w:pPr>
        <w:pStyle w:val="FirstParagraph"/>
      </w:pPr>
      <w:r>
        <w:t xml:space="preserve">In conclusion, the Social Worker in New Zealand Auckland is not just a service provider but a guardian of social justice. By addressing the unique challenges of this vibrant yet unequal city through an equitable and culturally grounded lens, we can foster a society where all individuals have the opportunity to thrive.</w:t>
      </w:r>
    </w:p>
    <w:bookmarkStart w:id="26" w:name="references"/>
    <w:p>
      <w:pPr>
        <w:pStyle w:val="Heading3"/>
      </w:pPr>
      <w:r>
        <w:rPr>
          <w:bCs/>
          <w:b/>
          <w:u w:val="single"/>
        </w:rPr>
        <w:t xml:space="preserve">References</w:t>
      </w:r>
    </w:p>
    <w:p>
      <w:pPr>
        <w:pStyle w:val="FirstParagraph"/>
      </w:pPr>
      <w:r>
        <w:t xml:space="preserve">Note: For the purpose of this conference paper template, standard academic references have been omitted but would typically include documents from Te Puia Oranga (Ministry of Social Development), NZASW Code of Ethics, and relevant Auckland Council community reports.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Social Workers in New Zealand Auckland: Navigating Complexity, Equity, and Community Resilience</dc:title>
  <dc:creator/>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file>