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9" w:name="X479951bcb7a137c829eba112083cf4e0bdf0c59"/>
    <w:p>
      <w:pPr>
        <w:pStyle w:val="Heading1"/>
      </w:pPr>
      <w:r>
        <w:t xml:space="preserve">The Role and Evolution of the Social Worker in New Zealand Wellington</w:t>
      </w:r>
    </w:p>
    <w:p>
      <w:pPr>
        <w:pStyle w:val="FirstParagraph"/>
      </w:pPr>
      <w:r>
        <w:t xml:space="preserve">Prepared for the National Conference on Social Services</w:t>
      </w:r>
      <w:r>
        <w:br/>
      </w:r>
      <w:r>
        <w:t xml:space="preserve">Wellington, New Zealand</w:t>
      </w:r>
      <w:r>
        <w:br/>
      </w:r>
      <w:r>
        <w:br/>
      </w:r>
      <w:r>
        <w:t xml:space="preserve">Date: October 2023</w:t>
      </w:r>
    </w:p>
    <w:bookmarkStart w:id="20" w:name="abstract"/>
    <w:p>
      <w:pPr>
        <w:pStyle w:val="Heading2"/>
      </w:pPr>
      <w:r>
        <w:t xml:space="preserve">Abstract</w:t>
      </w:r>
    </w:p>
    <w:p>
      <w:pPr>
        <w:pStyle w:val="FirstParagraph"/>
      </w:pPr>
      <w:r>
        <w:t xml:space="preserve">This conference paper examines the multifaceted role of the social worker within the specific socio-cultural and political landscape of New Zealand Wellington. As Aotearoa New Zealand continues to navigate complex challenges regarding housing affordability, mental health crises, and indigenous wellbeing, the demand for professional social intervention has never been more critical. This document explores how social workers in Wellington are adapting their practices to meet urban-specific needs while upholding the principles of Te Tiriti o Waitangi. It argues that effective social work in this capital city requires a synthesis of clinical expertise, community advocacy, and culturally responsive practice.</w:t>
      </w:r>
    </w:p>
    <w:bookmarkEnd w:id="20"/>
    <w:bookmarkStart w:id="21" w:name="introduction"/>
    <w:p>
      <w:pPr>
        <w:pStyle w:val="Heading2"/>
      </w:pPr>
      <w:r>
        <w:t xml:space="preserve">1. Introduction</w:t>
      </w:r>
    </w:p>
    <w:p>
      <w:pPr>
        <w:pStyle w:val="FirstParagraph"/>
      </w:pPr>
      <w:r>
        <w:t xml:space="preserve">New Zealand Wellington stands as a unique crucible for social service delivery. As the political and cultural heart of the nation, Wellington experiences a convergence of national policy implementation and grassroots community action. Within this dynamic environment, the social worker plays an indispensable role in bridging the gap between government systems and vulnerable individuals. This paper aims to elucidate how professionals identifying as a</w:t>
      </w:r>
      <w:r>
        <w:t xml:space="preserve"> </w:t>
      </w:r>
      <w:r>
        <w:rPr>
          <w:bCs/>
          <w:b/>
        </w:rPr>
        <w:t xml:space="preserve">Social Worker</w:t>
      </w:r>
      <w:r>
        <w:t xml:space="preserve"> </w:t>
      </w:r>
      <w:r>
        <w:t xml:space="preserve">operate within</w:t>
      </w:r>
      <w:r>
        <w:t xml:space="preserve"> </w:t>
      </w:r>
      <w:r>
        <w:rPr>
          <w:bCs/>
          <w:b/>
        </w:rPr>
        <w:t xml:space="preserve">New Zealand Wellington</w:t>
      </w:r>
      <w:r>
        <w:t xml:space="preserve">, addressing both systemic barriers and individual hardships.</w:t>
      </w:r>
    </w:p>
    <w:p>
      <w:pPr>
        <w:pStyle w:val="BodyText"/>
      </w:pPr>
      <w:r>
        <w:t xml:space="preserve">The context of social work in New Zealand is distinctively shaped by the bicultural framework established by Te Tiriti o Waitangi (The Treaty of Waitangi). Consequently, a modern</w:t>
      </w:r>
      <w:r>
        <w:t xml:space="preserve"> </w:t>
      </w:r>
      <w:r>
        <w:rPr>
          <w:bCs/>
          <w:b/>
        </w:rPr>
        <w:t xml:space="preserve">Social Worker</w:t>
      </w:r>
      <w:r>
        <w:t xml:space="preserve"> </w:t>
      </w:r>
      <w:r>
        <w:t xml:space="preserve">in Wellington must possess not only technical skills in case management and therapy but also a profound understanding of Māori methodologies, such as Te Whare Tapa Whā (the four-sided house of health). This paper will discuss these elements through the lens of current challenges facing the capital.</w:t>
      </w:r>
    </w:p>
    <w:bookmarkEnd w:id="21"/>
    <w:bookmarkStart w:id="22" w:name="X28595794eaf5a9ec08bb8525bd0099ef5e06075"/>
    <w:p>
      <w:pPr>
        <w:pStyle w:val="Heading2"/>
      </w:pPr>
      <w:r>
        <w:t xml:space="preserve">2. The Socio-Economic Landscape of Wellington</w:t>
      </w:r>
    </w:p>
    <w:p>
      <w:pPr>
        <w:pStyle w:val="FirstParagraph"/>
      </w:pPr>
      <w:r>
        <w:rPr>
          <w:bCs/>
          <w:b/>
        </w:rPr>
        <w:t xml:space="preserve">New Zealand Wellington</w:t>
      </w:r>
      <w:r>
        <w:t xml:space="preserve">, like many major cities globally, is grappling with a severe housing crisis. For the social worker, this manifests daily in caseloads characterized by homelessness, overcrowding, and financial instability. The high cost of living in the capital exacerbates mental health issues and family disintegration. Unlike rural areas where community cohesion may provide a natural safety net, urban Wellington can present challenges of isolation and anonymity.</w:t>
      </w:r>
    </w:p>
    <w:p>
      <w:pPr>
        <w:pStyle w:val="BodyText"/>
      </w:pPr>
      <w:r>
        <w:t xml:space="preserve">In this context, the role of the social worker shifts from traditional case management to urgent crisis intervention. Social workers in Wellington are frequently on the front lines of emergency housing placements, coordinating with local councils (such as Wellington City Council) and non-governmental organizations (NGOs). The pressure on these professionals is immense, requiring a high degree of resilience and adaptive problem-solving skills.</w:t>
      </w:r>
    </w:p>
    <w:bookmarkEnd w:id="22"/>
    <w:bookmarkStart w:id="23" w:name="X3515c110ed99dff6b5e7ea6fb7e5318f65b3b0f"/>
    <w:p>
      <w:pPr>
        <w:pStyle w:val="Heading2"/>
      </w:pPr>
      <w:r>
        <w:t xml:space="preserve">3. Te Tiriti o Waitangi and Cultural Competency</w:t>
      </w:r>
    </w:p>
    <w:p>
      <w:pPr>
        <w:pStyle w:val="FirstParagraph"/>
      </w:pPr>
      <w:r>
        <w:t xml:space="preserve">A defining characteristic of contemporary social work in Aotearoa is the imperative to practice in alignment with Te Tiriti o Waitangi. For a social worker operating in</w:t>
      </w:r>
      <w:r>
        <w:t xml:space="preserve"> </w:t>
      </w:r>
      <w:r>
        <w:rPr>
          <w:bCs/>
          <w:b/>
        </w:rPr>
        <w:t xml:space="preserve">New Zealand Wellington</w:t>
      </w:r>
      <w:r>
        <w:t xml:space="preserve">, this is not merely a theoretical concept but a practical mandate. It requires active partnership, participation, and protection of Māori rights.</w:t>
      </w:r>
    </w:p>
    <w:p>
      <w:pPr>
        <w:pStyle w:val="BodyText"/>
      </w:pPr>
      <w:r>
        <w:rPr>
          <w:bCs/>
          <w:b/>
        </w:rPr>
        <w:t xml:space="preserve">Social Worker</w:t>
      </w:r>
      <w:r>
        <w:t xml:space="preserve"> </w:t>
      </w:r>
      <w:r>
        <w:t xml:space="preserve">practice in the region increasingly involves:</w:t>
      </w:r>
    </w:p>
    <w:p>
      <w:pPr>
        <w:numPr>
          <w:ilvl w:val="0"/>
          <w:numId w:val="1001"/>
        </w:numPr>
        <w:pStyle w:val="Compact"/>
      </w:pPr>
      <w:r>
        <w:rPr>
          <w:bCs/>
          <w:b/>
        </w:rPr>
        <w:t xml:space="preserve">Cultural Safety:</w:t>
      </w:r>
      <w:r>
        <w:t xml:space="preserve"> </w:t>
      </w:r>
      <w:r>
        <w:t xml:space="preserve">Ensuring that interactions with clients from diverse backgrounds, particularly Māori and Pasifika communities, are respectful and culturally safe.</w:t>
      </w:r>
    </w:p>
    <w:p>
      <w:pPr>
        <w:numPr>
          <w:ilvl w:val="0"/>
          <w:numId w:val="1001"/>
        </w:numPr>
        <w:pStyle w:val="Compact"/>
      </w:pPr>
      <w:r>
        <w:rPr>
          <w:bCs/>
          <w:b/>
        </w:rPr>
        <w:t xml:space="preserve">Kaiako Roles:</w:t>
      </w:r>
      <w:r>
        <w:t xml:space="preserve"> </w:t>
      </w:r>
      <w:r>
        <w:t xml:space="preserve">Acting as educators within families to help them navigate systems while retaining their cultural identity.</w:t>
      </w:r>
    </w:p>
    <w:p>
      <w:pPr>
        <w:numPr>
          <w:ilvl w:val="0"/>
          <w:numId w:val="1001"/>
        </w:numPr>
        <w:pStyle w:val="Compact"/>
      </w:pPr>
      <w:r>
        <w:rPr>
          <w:bCs/>
          <w:b/>
        </w:rPr>
        <w:t xml:space="preserve">Critique of Systemic Bias:</w:t>
      </w:r>
      <w:r>
        <w:t xml:space="preserve"> </w:t>
      </w:r>
      <w:r>
        <w:t xml:space="preserve">Acknowledging the historical trauma caused by colonial policies and working actively to dismantle systemic biases within child welfare (Oranga Tamariki) and justice systems.</w:t>
      </w:r>
    </w:p>
    <w:p>
      <w:pPr>
        <w:pStyle w:val="FirstParagraph"/>
      </w:pPr>
      <w:r>
        <w:t xml:space="preserve">This approach ensures that the social worker is not an agent of assimilation but a facilitator of empowerment. In Wellington, where there is a strong Māori presence and vibrant indigenous leadership, social workers must collaborate closely with iwi (tribal) authorities to ensure holistic care for their members.</w:t>
      </w:r>
    </w:p>
    <w:bookmarkEnd w:id="23"/>
    <w:bookmarkStart w:id="24" w:name="urban-mental-health-and-youth-services"/>
    <w:p>
      <w:pPr>
        <w:pStyle w:val="Heading2"/>
      </w:pPr>
      <w:r>
        <w:t xml:space="preserve">4. Urban Mental Health and Youth Services</w:t>
      </w:r>
    </w:p>
    <w:p>
      <w:pPr>
        <w:pStyle w:val="FirstParagraph"/>
      </w:pPr>
      <w:r>
        <w:t xml:space="preserve">The mental health crisis among young people in</w:t>
      </w:r>
      <w:r>
        <w:t xml:space="preserve"> </w:t>
      </w:r>
      <w:r>
        <w:rPr>
          <w:bCs/>
          <w:b/>
        </w:rPr>
        <w:t xml:space="preserve">New Zealand Wellington</w:t>
      </w:r>
      <w:r>
        <w:t xml:space="preserve"> </w:t>
      </w:r>
      <w:r>
        <w:t xml:space="preserve">is a pressing concern. Schools, youth services, and community centers in the capital are seeing unprecedented demand for support regarding anxiety, depression, and identity issues. The social worker serves as a critical link between educational institutions, healthcare providers (such as Capital &amp; Coast District Health Board), and families.</w:t>
      </w:r>
    </w:p>
    <w:p>
      <w:pPr>
        <w:pStyle w:val="BodyText"/>
      </w:pPr>
      <w:r>
        <w:t xml:space="preserve">In this urban setting, social workers often employ trauma-informed care models. They recognize that many young people present with behaviors rooted in complex trauma related to family violence or neglect. By utilizing strengths-based approaches, social workers help youth identify their own resilience and build supportive networks within the city environment. This is particularly vital in Wellington’s dense urban corridors where access to green spaces and community hubs can significantly impact mental wellbeing.</w:t>
      </w:r>
    </w:p>
    <w:bookmarkEnd w:id="24"/>
    <w:bookmarkStart w:id="25" w:name="inter-agency-collaboration-and-advocacy"/>
    <w:p>
      <w:pPr>
        <w:pStyle w:val="Heading2"/>
      </w:pPr>
      <w:r>
        <w:t xml:space="preserve">5. Inter-Agency Collaboration and Advocacy</w:t>
      </w:r>
    </w:p>
    <w:p>
      <w:pPr>
        <w:pStyle w:val="FirstParagraph"/>
      </w:pPr>
      <w:r>
        <w:t xml:space="preserve">No social worker operates in isolation, but in the complex web of services found in</w:t>
      </w:r>
      <w:r>
        <w:t xml:space="preserve"> </w:t>
      </w:r>
      <w:r>
        <w:rPr>
          <w:bCs/>
          <w:b/>
        </w:rPr>
        <w:t xml:space="preserve">New Zealand Wellington</w:t>
      </w:r>
      <w:r>
        <w:t xml:space="preserve">, collaboration is essential. Effective practice involves robust inter-agency working with police, health professionals, educators, and legal aid providers.</w:t>
      </w:r>
    </w:p>
    <w:p>
      <w:pPr>
        <w:pStyle w:val="BodyText"/>
      </w:pPr>
      <w:r>
        <w:t xml:space="preserve">The social worker often acts as an advocate for clients who may feel powerless against bureaucratic systems. In Wellington, this advocacy extends to policy-level engagement. Social workers are increasingly involved in consultations with local and national governments to shape policies that reflect the lived realities of citizens. By aggregating data and anecdotal evidence from their casework, social workers provide critical insights that can influence funding allocations and service design in the capital.</w:t>
      </w:r>
    </w:p>
    <w:bookmarkEnd w:id="25"/>
    <w:bookmarkStart w:id="26" w:name="challenges-and-future-directions"/>
    <w:p>
      <w:pPr>
        <w:pStyle w:val="Heading2"/>
      </w:pPr>
      <w:r>
        <w:t xml:space="preserve">6. Challenges and Future Directions</w:t>
      </w:r>
    </w:p>
    <w:p>
      <w:pPr>
        <w:pStyle w:val="FirstParagraph"/>
      </w:pPr>
      <w:r>
        <w:t xml:space="preserve">Despite the vital importance of their role, social workers in Wellington face significant challenges. Burnout is prevalent due to high caseloads and emotional distress. There is also a need for continued professional development to keep pace with evolving legislation and emerging social issues, such as the impact of climate change on urban infrastructure and displacement.</w:t>
      </w:r>
    </w:p>
    <w:p>
      <w:pPr>
        <w:pStyle w:val="BodyText"/>
      </w:pPr>
      <w:r>
        <w:t xml:space="preserve">Furthermore, the digital divide poses a challenge in service delivery. As services move online, ensuring equitable access for all demographics in</w:t>
      </w:r>
      <w:r>
        <w:t xml:space="preserve"> </w:t>
      </w:r>
      <w:r>
        <w:rPr>
          <w:bCs/>
          <w:b/>
        </w:rPr>
        <w:t xml:space="preserve">New Zealand Wellington</w:t>
      </w:r>
      <w:r>
        <w:t xml:space="preserve">, including elderly populations and low-income households, requires innovative strategies from the social work profession. The future role of the social worker will likely involve more tele-health support combined with targeted community outreach.</w:t>
      </w:r>
    </w:p>
    <w:bookmarkEnd w:id="26"/>
    <w:bookmarkStart w:id="27" w:name="conclusion"/>
    <w:p>
      <w:pPr>
        <w:pStyle w:val="Heading2"/>
      </w:pPr>
      <w:r>
        <w:t xml:space="preserve">7. Conclusion</w:t>
      </w:r>
    </w:p>
    <w:p>
      <w:pPr>
        <w:pStyle w:val="FirstParagraph"/>
      </w:pPr>
      <w:r>
        <w:t xml:space="preserve">In conclusion, the position of a</w:t>
      </w:r>
      <w:r>
        <w:t xml:space="preserve"> </w:t>
      </w:r>
      <w:r>
        <w:rPr>
          <w:bCs/>
          <w:b/>
        </w:rPr>
        <w:t xml:space="preserve">Social Worker</w:t>
      </w:r>
      <w:r>
        <w:t xml:space="preserve"> </w:t>
      </w:r>
      <w:r>
        <w:t xml:space="preserve">in</w:t>
      </w:r>
      <w:r>
        <w:t xml:space="preserve"> </w:t>
      </w:r>
      <w:r>
        <w:rPr>
          <w:bCs/>
          <w:b/>
        </w:rPr>
        <w:t xml:space="preserve">New Zealand Wellington</w:t>
      </w:r>
      <w:r>
        <w:t xml:space="preserve"> </w:t>
      </w:r>
      <w:r>
        <w:t xml:space="preserve">is one of profound responsibility and dynamic change. It requires a unique blend of empathy, cultural competency, and systemic advocacy. As the capital city continues to evolve, so too must the practice of social work. By embracing bicultural principles, addressing socio-economic disparities, and fostering inter-agency collaboration, social workers remain central to the wellbeing of New Zealand’s heartland.</w:t>
      </w:r>
    </w:p>
    <w:p>
      <w:pPr>
        <w:pStyle w:val="BodyText"/>
      </w:pPr>
      <w:r>
        <w:t xml:space="preserve">This conference paper underscores that investing in the social workforce is not just an investment in individual practitioners but an investment in the stability and health of society as a whole. The future of social work in Wellington depends on our collective commitment to supporting those who support others, ensuring that every citizen has access to dignity, justice, and care.</w:t>
      </w:r>
    </w:p>
    <w:bookmarkEnd w:id="27"/>
    <w:bookmarkStart w:id="28" w:name="references"/>
    <w:p>
      <w:pPr>
        <w:pStyle w:val="Heading2"/>
      </w:pPr>
      <w:r>
        <w:t xml:space="preserve">References</w:t>
      </w:r>
    </w:p>
    <w:p>
      <w:pPr>
        <w:numPr>
          <w:ilvl w:val="0"/>
          <w:numId w:val="1002"/>
        </w:numPr>
        <w:pStyle w:val="Compact"/>
      </w:pPr>
      <w:r>
        <w:t xml:space="preserve">Social Workers Registration Board (SWRB). (2023). Code of Ethics for Social Work in Aotearoa New Zealand.</w:t>
      </w:r>
    </w:p>
    <w:p>
      <w:pPr>
        <w:numPr>
          <w:ilvl w:val="0"/>
          <w:numId w:val="1002"/>
        </w:numPr>
        <w:pStyle w:val="Compact"/>
      </w:pPr>
      <w:r>
        <w:t xml:space="preserve">Minear, R. (n.d.). Te Tiriti o Waitangi: Partnership in Practice. Wellington University Press.</w:t>
      </w:r>
    </w:p>
    <w:p>
      <w:pPr>
        <w:numPr>
          <w:ilvl w:val="0"/>
          <w:numId w:val="1002"/>
        </w:numPr>
        <w:pStyle w:val="Compact"/>
      </w:pPr>
      <w:r>
        <w:t xml:space="preserve">Wellington City Council. (2022). Community Wellbeing Report: Social Determinants of Health in the Capital Region.</w:t>
      </w:r>
    </w:p>
    <w:p>
      <w:pPr>
        <w:numPr>
          <w:ilvl w:val="0"/>
          <w:numId w:val="1002"/>
        </w:numPr>
        <w:pStyle w:val="Compact"/>
      </w:pPr>
      <w:r>
        <w:t xml:space="preserve">New Zealand Ministry of Social Development. (2023). Annual Report on Social Services and Housing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New Zealand Wellington: A Conference Paper</dc:title>
  <dc:creator/>
  <dc:language>en</dc:language>
  <cp:keywords/>
  <dcterms:created xsi:type="dcterms:W3CDTF">2026-07-30T02:26:12Z</dcterms:created>
  <dcterms:modified xsi:type="dcterms:W3CDTF">2026-07-30T02:26:12Z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