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Modern</w:t>
      </w:r>
      <w:r>
        <w:t xml:space="preserve"> </w:t>
      </w:r>
      <w:r>
        <w:t xml:space="preserve">Uzbekistan</w:t>
      </w:r>
      <w:r>
        <w:t xml:space="preserve"> </w:t>
      </w:r>
      <w:r>
        <w:t xml:space="preserve">Tashkent</w:t>
      </w:r>
    </w:p>
    <w:p>
      <w:pPr>
        <w:pStyle w:val="FirstParagraph"/>
      </w:pPr>
      <w:r>
        <w:t xml:space="preserve">The Evolving Role of the Social Worker in Modern Uzbekistan Tashkent:</w:t>
      </w:r>
    </w:p>
    <w:p>
      <w:pPr>
        <w:pStyle w:val="BodyText"/>
      </w:pPr>
      <w:r>
        <w:br/>
      </w:r>
      <w:r>
        <w:t xml:space="preserve">A Framework for Community Resilience and Sustainable Development</w:t>
      </w:r>
    </w:p>
    <w:p>
      <w:pPr>
        <w:pStyle w:val="BodyText"/>
      </w:pPr>
      <w:r>
        <w:rPr>
          <w:bCs/>
          <w:b/>
        </w:rPr>
        <w:t xml:space="preserve">Author:</w:t>
      </w:r>
      <w:r>
        <w:t xml:space="preserve">[Your Name/Organization Placeholder]</w:t>
      </w:r>
      <w:r>
        <w:br/>
      </w:r>
      <w:r>
        <w:rPr>
          <w:bCs/>
          <w:b/>
        </w:rPr>
        <w:t xml:space="preserve">Date:</w:t>
      </w:r>
      <w:r>
        <w:t xml:space="preserve"> </w:t>
      </w:r>
      <w:r>
        <w:t xml:space="preserve">October 2023</w:t>
      </w:r>
      <w:r>
        <w:br/>
      </w:r>
      <w:r>
        <w:rPr>
          <w:bCs/>
          <w:b/>
        </w:rPr>
        <w:t xml:space="preserve">Conference Theme:</w:t>
      </w:r>
      <w:r>
        <w:t xml:space="preserve"> </w:t>
      </w:r>
      <w:r>
        <w:t xml:space="preserve">Social Welfare and Urban Development in Central Asia</w:t>
      </w:r>
    </w:p>
    <w:bookmarkStart w:id="20" w:name="abstract"/>
    <w:p>
      <w:pPr>
        <w:pStyle w:val="Heading2"/>
      </w:pPr>
      <w:r>
        <w:t xml:space="preserve">Abstract</w:t>
      </w:r>
    </w:p>
    <w:p>
      <w:pPr>
        <w:pStyle w:val="FirstParagraph"/>
      </w:pPr>
      <w:r>
        <w:t xml:space="preserve">The rapid urbanization and socioeconomic transformation of Uzbekistan have necessitated a reevaluation of social support systems. This paper examines the critical function of the</w:t>
      </w:r>
      <w:r>
        <w:t xml:space="preserve"> </w:t>
      </w:r>
      <w:r>
        <w:rPr>
          <w:bCs/>
          <w:b/>
        </w:rPr>
        <w:t xml:space="preserve">Social Worker</w:t>
      </w:r>
      <w:r>
        <w:t xml:space="preserve">Tashkent, Uzbekistan. As one of the fastest-growing metropolitan areas in Central Asia, Tashkent faces unique challenges regarding poverty alleviation, elderly care, and family dynamics. Through an analysis of current institutional frameworks and community-based interventions, this study argues that professionalizing the role of the social worker is essential for building a resilient society in</w:t>
      </w:r>
      <w:r>
        <w:t xml:space="preserve"> </w:t>
      </w:r>
      <w:r>
        <w:rPr>
          <w:bCs/>
          <w:b/>
        </w:rPr>
        <w:t xml:space="preserve">Uzbekistan</w:t>
      </w:r>
      <w:r>
        <w:t xml:space="preserve">, specifically within its capital city. The findings suggest that integrating traditional Uzbek hospitality values with modern social work methodologies can significantly improve outcomes for vulnerable populations.</w:t>
      </w:r>
    </w:p>
    <w:bookmarkEnd w:id="20"/>
    <w:bookmarkStart w:id="21" w:name="introduction"/>
    <w:p>
      <w:pPr>
        <w:pStyle w:val="Heading2"/>
      </w:pPr>
      <w:r>
        <w:t xml:space="preserve">Introduction</w:t>
      </w:r>
    </w:p>
    <w:p>
      <w:pPr>
        <w:pStyle w:val="FirstParagraph"/>
      </w:pPr>
      <w:r>
        <w:t xml:space="preserve">The Republic of</w:t>
      </w:r>
      <w:r>
        <w:t xml:space="preserve"> </w:t>
      </w:r>
      <w:r>
        <w:rPr>
          <w:bCs/>
          <w:b/>
        </w:rPr>
        <w:t xml:space="preserve">Uzbekistan</w:t>
      </w:r>
      <w:r>
        <w:t xml:space="preserve"> </w:t>
      </w:r>
      <w:r>
        <w:t xml:space="preserve">has undergone significant political and economic reforms over the past decade, leading to increased openness and engagement with international development standards. At the heart of these changes is</w:t>
      </w:r>
      <w:r>
        <w:t xml:space="preserve"> </w:t>
      </w:r>
      <w:r>
        <w:rPr>
          <w:bCs/>
          <w:b/>
        </w:rPr>
        <w:t xml:space="preserve">Tashkent, a city that serves as both an economic powerhouse and a cultural crossroads. However, this growth brings complex social stratification issues, migration pressures from rural areas, and changing family structures that traditional support mechanisms are ill-equipped to handle.</w:t>
      </w:r>
      <w:r>
        <w:rPr>
          <w:bCs/>
          <w:b/>
        </w:rPr>
        <w:t xml:space="preserve"> </w:t>
      </w:r>
      <w:r>
        <w:rPr>
          <w:bCs/>
          <w:b/>
        </w:rPr>
        <w:t xml:space="preserve">Historically, welfare provision in the region was heavily state-centric during the Soviet era. Post-independence transitions have seen a shift toward more decentralized models of care. In this new landscape, the</w:t>
      </w:r>
      <w:r>
        <w:rPr>
          <w:bCs/>
          <w:b/>
        </w:rPr>
        <w:t xml:space="preserve"> </w:t>
      </w:r>
      <w:r>
        <w:rPr>
          <w:bCs/>
          <w:b/>
          <w:bCs/>
          <w:b/>
        </w:rPr>
        <w:t xml:space="preserve">Social Worker</w:t>
      </w:r>
      <w:r>
        <w:rPr>
          <w:bCs/>
          <w:b/>
        </w:rPr>
        <w:t xml:space="preserve"> </w:t>
      </w:r>
      <w:r>
        <w:rPr>
          <w:bCs/>
          <w:b/>
        </w:rPr>
        <w:t xml:space="preserve">emerges not merely as an administrator of benefits, but as a crucial agent of change who bridges the gap between state policy and individual human needs. This paper explores how the deployment and professional development of social workers in</w:t>
      </w:r>
      <w:r>
        <w:rPr>
          <w:bCs/>
          <w:b/>
        </w:rPr>
        <w:t xml:space="preserve"> </w:t>
      </w:r>
      <w:r>
        <w:rPr>
          <w:bCs/>
          <w:b/>
          <w:bCs/>
          <w:b/>
        </w:rPr>
        <w:t xml:space="preserve">Tashkent can address these emerging societal gaps effectively.</w:t>
      </w:r>
    </w:p>
    <w:bookmarkEnd w:id="21"/>
    <w:bookmarkStart w:id="22" w:name="the-socioeconomic-landscape-of-tashkent"/>
    <w:p>
      <w:pPr>
        <w:pStyle w:val="Heading2"/>
      </w:pPr>
      <w:r>
        <w:t xml:space="preserve">The Socioeconomic Landscape of Tashkent</w:t>
      </w:r>
    </w:p>
    <w:p>
      <w:pPr>
        <w:pStyle w:val="FirstParagraph"/>
      </w:pPr>
      <w:r>
        <w:t xml:space="preserve">To understand the necessity for specialized social work, one must first appreciate the demographic realities of</w:t>
      </w:r>
      <w:r>
        <w:t xml:space="preserve"> </w:t>
      </w:r>
      <w:r>
        <w:rPr>
          <w:bCs/>
          <w:b/>
        </w:rPr>
        <w:t xml:space="preserve">Uzbekistan's capital.</w:t>
      </w:r>
      <w:r>
        <w:rPr>
          <w:bCs/>
          <w:b/>
        </w:rPr>
        <w:t xml:space="preserve"> </w:t>
      </w:r>
      <w:r>
        <w:rPr>
          <w:bCs/>
          <w:b/>
          <w:bCs/>
          <w:b/>
        </w:rPr>
        <w:t xml:space="preserve">Tashkent</w:t>
      </w:r>
      <w:r>
        <w:rPr>
          <w:bCs/>
          <w:b/>
        </w:rPr>
        <w:t xml:space="preserve"> </w:t>
      </w:r>
      <w:r>
        <w:rPr>
          <w:bCs/>
          <w:b/>
        </w:rPr>
        <w:t xml:space="preserve">is experiencing an influx of migrants seeking employment opportunities, leading to strained housing conditions and increased competition for public services. Simultaneously, the city grapples with a growing elderly population whose children have migrated abroad or to other cities for work. This "empty nest" phenomenon creates a demand for psychosocial support and caregiving that exceeds the capacity of informal family networks alone.</w:t>
      </w:r>
      <w:r>
        <w:rPr>
          <w:bCs/>
          <w:b/>
        </w:rPr>
        <w:t xml:space="preserve"> </w:t>
      </w:r>
      <w:r>
        <w:rPr>
          <w:bCs/>
          <w:b/>
        </w:rPr>
        <w:t xml:space="preserve">Furthermore, economic disparities in</w:t>
      </w:r>
      <w:r>
        <w:rPr>
          <w:bCs/>
          <w:b/>
        </w:rPr>
        <w:t xml:space="preserve"> </w:t>
      </w:r>
      <w:r>
        <w:rPr>
          <w:bCs/>
          <w:b/>
          <w:bCs/>
          <w:b/>
        </w:rPr>
        <w:t xml:space="preserve">Tashkent</w:t>
      </w:r>
      <w:r>
        <w:rPr>
          <w:bCs/>
          <w:b/>
        </w:rPr>
        <w:t xml:space="preserve"> </w:t>
      </w:r>
      <w:r>
        <w:rPr>
          <w:bCs/>
          <w:b/>
        </w:rPr>
        <w:t xml:space="preserve">are becoming more visible. While there is a burgeoning middle class, significant portions of the population remain vulnerable to poverty shocks. The complexity of these issues requires interventions that are nuanced, culturally sensitive, and professionally managed—functions best served by trained social workers rather than general administrative staff.</w:t>
      </w:r>
    </w:p>
    <w:bookmarkEnd w:id="22"/>
    <w:bookmarkStart w:id="23" w:name="defining-the-modern-social-worker"/>
    <w:p>
      <w:pPr>
        <w:pStyle w:val="Heading2"/>
      </w:pPr>
      <w:r>
        <w:t xml:space="preserve">Defining the Modern Social Worker</w:t>
      </w:r>
    </w:p>
    <w:p>
      <w:pPr>
        <w:pStyle w:val="FirstParagraph"/>
      </w:pPr>
      <w:r>
        <w:t xml:space="preserve">The term</w:t>
      </w:r>
      <w:r>
        <w:t xml:space="preserve"> </w:t>
      </w:r>
      <w:r>
        <w:rPr>
          <w:bCs/>
          <w:b/>
        </w:rPr>
        <w:t xml:space="preserve">Social Worker</w:t>
      </w:r>
      <w:r>
        <w:t xml:space="preserve"> </w:t>
      </w:r>
      <w:r>
        <w:t xml:space="preserve">in the context of</w:t>
      </w:r>
      <w:r>
        <w:t xml:space="preserve"> </w:t>
      </w:r>
      <w:r>
        <w:rPr>
          <w:bCs/>
          <w:b/>
        </w:rPr>
        <w:t xml:space="preserve">Uzbekistan is evolving. Traditionally, roles were defined by bureaucratic oversight of welfare distribution. However, contemporary definitions emphasize clinical intervention, community organizing, and advocacy. A modern social worker in</w:t>
      </w:r>
      <w:r>
        <w:rPr>
          <w:bCs/>
          <w:b/>
        </w:rPr>
        <w:t xml:space="preserve"> </w:t>
      </w:r>
      <w:r>
        <w:rPr>
          <w:bCs/>
          <w:b/>
          <w:bCs/>
          <w:b/>
        </w:rPr>
        <w:t xml:space="preserve">Tashkent must possess skills in crisis intervention to handle cases of domestic violence or child neglect; counseling techniques to support mental health amidst economic stress; and resource coordination to connect families with educational and healthcare services.</w:t>
      </w:r>
      <w:r>
        <w:rPr>
          <w:bCs/>
          <w:b/>
          <w:bCs/>
          <w:b/>
        </w:rPr>
        <w:t xml:space="preserve"> </w:t>
      </w:r>
      <w:r>
        <w:rPr>
          <w:bCs/>
          <w:b/>
          <w:bCs/>
          <w:b/>
        </w:rPr>
        <w:t xml:space="preserve">This professionalization is vital for several reasons:</w:t>
      </w:r>
    </w:p>
    <w:p>
      <w:pPr>
        <w:numPr>
          <w:ilvl w:val="0"/>
          <w:numId w:val="1001"/>
        </w:numPr>
        <w:pStyle w:val="Compact"/>
      </w:pPr>
      <w:r>
        <w:rPr>
          <w:bCs/>
          <w:b/>
        </w:rPr>
        <w:t xml:space="preserve">Evidence-Based Practice:</w:t>
      </w:r>
      <w:r>
        <w:t xml:space="preserve"> </w:t>
      </w:r>
      <w:r>
        <w:t xml:space="preserve">Social workers bring data-driven approaches to problem-solving, ensuring that resources are allocated efficiently.</w:t>
      </w:r>
    </w:p>
    <w:p>
      <w:pPr>
        <w:numPr>
          <w:ilvl w:val="0"/>
          <w:numId w:val="1001"/>
        </w:numPr>
        <w:pStyle w:val="Compact"/>
      </w:pPr>
      <w:r>
        <w:rPr>
          <w:bCs/>
          <w:b/>
        </w:rPr>
        <w:t xml:space="preserve">Cultural Mediation:</w:t>
      </w:r>
      <w:r>
        <w:t xml:space="preserve"> </w:t>
      </w:r>
      <w:r>
        <w:t xml:space="preserve">They act as translators between state institutions and local communities, ensuring that policies are understood and accepted.</w:t>
      </w:r>
    </w:p>
    <w:p>
      <w:pPr>
        <w:numPr>
          <w:ilvl w:val="0"/>
          <w:numId w:val="1001"/>
        </w:numPr>
        <w:pStyle w:val="Compact"/>
      </w:pPr>
      <w:r>
        <w:rPr>
          <w:bCs/>
          <w:b/>
        </w:rPr>
        <w:t xml:space="preserve">Holistic Support:</w:t>
      </w:r>
      <w:r>
        <w:t xml:space="preserve"> </w:t>
      </w:r>
      <w:r>
        <w:t xml:space="preserve">Unlike single-issue service providers, social workers address the interconnected nature of poverty, health, education, and legal rights.</w:t>
      </w:r>
    </w:p>
    <w:p>
      <w:pPr>
        <w:pStyle w:val="FirstParagraph"/>
      </w:pPr>
      <w:r>
        <w:t xml:space="preserve">The integration of these roles into the fabric of</w:t>
      </w:r>
      <w:r>
        <w:t xml:space="preserve"> </w:t>
      </w:r>
      <w:r>
        <w:rPr>
          <w:bCs/>
          <w:b/>
        </w:rPr>
        <w:t xml:space="preserve">Tashkent's civic infrastructure represents a significant step toward modern governance.</w:t>
      </w:r>
    </w:p>
    <w:bookmarkEnd w:id="23"/>
    <w:bookmarkStart w:id="24" w:name="X17acd01cf177e0c9e3f4ce3c774ba7c77b8e475"/>
    <w:p>
      <w:pPr>
        <w:pStyle w:val="Heading2"/>
      </w:pPr>
      <w:r>
        <w:t xml:space="preserve">Cultural Context: Integrating Tradition with Modernity</w:t>
      </w:r>
    </w:p>
    <w:p>
      <w:pPr>
        <w:pStyle w:val="FirstParagraph"/>
      </w:pPr>
      <w:r>
        <w:t xml:space="preserve">A unique aspect of practicing social work in</w:t>
      </w:r>
      <w:r>
        <w:t xml:space="preserve"> </w:t>
      </w:r>
      <w:r>
        <w:rPr>
          <w:bCs/>
          <w:b/>
        </w:rPr>
        <w:t xml:space="preserve">Uzbekistan Tashkent is the deep-rooted cultural value of mutual aid, often referred to as "qo‘l qo‘lni yuvadi" (one hand washes the other). Historically, extended families and neighborhood networks provided safety nets. However, urbanization has weakened these ties.</w:t>
      </w:r>
      <w:r>
        <w:rPr>
          <w:bCs/>
          <w:b/>
        </w:rPr>
        <w:t xml:space="preserve"> </w:t>
      </w:r>
      <w:r>
        <w:rPr>
          <w:bCs/>
          <w:b/>
        </w:rPr>
        <w:t xml:space="preserve">Effective social work in</w:t>
      </w:r>
      <w:r>
        <w:rPr>
          <w:bCs/>
          <w:b/>
        </w:rPr>
        <w:t xml:space="preserve"> </w:t>
      </w:r>
      <w:r>
        <w:rPr>
          <w:bCs/>
          <w:b/>
          <w:bCs/>
          <w:b/>
        </w:rPr>
        <w:t xml:space="preserve">Tashkent</w:t>
      </w:r>
      <w:r>
        <w:rPr>
          <w:bCs/>
          <w:b/>
        </w:rPr>
        <w:t xml:space="preserve"> </w:t>
      </w:r>
      <w:r>
        <w:rPr>
          <w:bCs/>
          <w:b/>
        </w:rPr>
        <w:t xml:space="preserve">does not discard these traditions but rather builds upon them. The ideal</w:t>
      </w:r>
      <w:r>
        <w:rPr>
          <w:bCs/>
          <w:b/>
        </w:rPr>
        <w:t xml:space="preserve"> </w:t>
      </w:r>
      <w:r>
        <w:rPr>
          <w:bCs/>
          <w:b/>
          <w:bCs/>
          <w:b/>
        </w:rPr>
        <w:t xml:space="preserve">Social Worker in this region must be culturally competent, respecting local customs while gently introducing new concepts of individual rights and professional boundaries. For instance, when intervening in cases of domestic violence, a social worker must navigate family honor dynamics with extreme sensitivity, leveraging community elders to support positive change rather than alienating the family unit. This hybrid approach ensures that interventions are not only effective but also sustainable within the cultural context of</w:t>
      </w:r>
      <w:r>
        <w:rPr>
          <w:bCs/>
          <w:b/>
          <w:bCs/>
          <w:b/>
        </w:rPr>
        <w:t xml:space="preserve"> </w:t>
      </w:r>
      <w:r>
        <w:rPr>
          <w:bCs/>
          <w:b/>
          <w:bCs/>
          <w:b/>
          <w:bCs/>
          <w:b/>
        </w:rPr>
        <w:t xml:space="preserve">Uzbekistan</w:t>
      </w:r>
      <w:r>
        <w:rPr>
          <w:bCs/>
          <w:b/>
          <w:bCs/>
          <w:b/>
        </w:rPr>
        <w:t xml:space="preserve">.</w:t>
      </w:r>
    </w:p>
    <w:bookmarkEnd w:id="24"/>
    <w:bookmarkStart w:id="25" w:name="challenges-and-recommendations"/>
    <w:p>
      <w:pPr>
        <w:pStyle w:val="Heading2"/>
      </w:pPr>
      <w:r>
        <w:t xml:space="preserve">Challenges and Recommendations</w:t>
      </w:r>
    </w:p>
    <w:p>
      <w:pPr>
        <w:pStyle w:val="FirstParagraph"/>
      </w:pPr>
      <w:r>
        <w:t xml:space="preserve">Despite progress, several challenges hinder the optimal performance of social workers in</w:t>
      </w:r>
      <w:r>
        <w:t xml:space="preserve"> </w:t>
      </w:r>
      <w:r>
        <w:rPr>
          <w:bCs/>
          <w:b/>
        </w:rPr>
        <w:t xml:space="preserve">Tashkent. These include:</w:t>
      </w:r>
    </w:p>
    <w:p>
      <w:pPr>
        <w:numPr>
          <w:ilvl w:val="0"/>
          <w:numId w:val="1002"/>
        </w:numPr>
        <w:pStyle w:val="Compact"/>
      </w:pPr>
      <w:r>
        <w:rPr>
          <w:bCs/>
          <w:b/>
        </w:rPr>
        <w:t xml:space="preserve">Lack of Specialized Training:</w:t>
      </w:r>
      <w:r>
        <w:t xml:space="preserve"> </w:t>
      </w:r>
      <w:r>
        <w:t xml:space="preserve">Many current practitioners lack advanced degrees or specialized certification in clinical social work.</w:t>
      </w:r>
    </w:p>
    <w:p>
      <w:pPr>
        <w:numPr>
          <w:ilvl w:val="0"/>
          <w:numId w:val="1002"/>
        </w:numPr>
        <w:pStyle w:val="Compact"/>
      </w:pPr>
      <w:r>
        <w:rPr>
          <w:bCs/>
          <w:b/>
        </w:rPr>
        <w:t xml:space="preserve">Institutional Stigma:</w:t>
      </w:r>
      <w:r>
        <w:t xml:space="preserve"> </w:t>
      </w:r>
      <w:r>
        <w:t xml:space="preserve">There is still a societal stigma associated with seeking help from state welfare systems, viewing it as a sign of failure rather than support.</w:t>
      </w:r>
    </w:p>
    <w:p>
      <w:pPr>
        <w:numPr>
          <w:ilvl w:val="0"/>
          <w:numId w:val="1002"/>
        </w:numPr>
        <w:pStyle w:val="Compact"/>
      </w:pPr>
      <w:r>
        <w:rPr>
          <w:bCs/>
          <w:b/>
        </w:rPr>
        <w:t xml:space="preserve">Funding Limitations:</w:t>
      </w:r>
      <w:r>
        <w:t xml:space="preserve"> </w:t>
      </w:r>
      <w:r>
        <w:t xml:space="preserve">Community-based programs often suffer from inconsistent funding streams.</w:t>
      </w:r>
    </w:p>
    <w:p>
      <w:pPr>
        <w:pStyle w:val="FirstParagraph"/>
      </w:pPr>
      <w:r>
        <w:t xml:space="preserve">To address these issues, this paper recommends the following:</w:t>
      </w:r>
    </w:p>
    <w:p>
      <w:pPr>
        <w:numPr>
          <w:ilvl w:val="0"/>
          <w:numId w:val="1003"/>
        </w:numPr>
        <w:pStyle w:val="Compact"/>
      </w:pPr>
      <w:r>
        <w:rPr>
          <w:bCs/>
          <w:b/>
        </w:rPr>
        <w:t xml:space="preserve">Educational Reform:</w:t>
      </w:r>
      <w:r>
        <w:t xml:space="preserve"> </w:t>
      </w:r>
      <w:r>
        <w:t xml:space="preserve">Universities in</w:t>
      </w:r>
    </w:p>
    <w:p>
      <w:pPr>
        <w:numPr>
          <w:ilvl w:val="0"/>
          <w:numId w:val="1000"/>
        </w:numPr>
        <w:pStyle w:val="Compact"/>
      </w:pPr>
      <w:r>
        <w:t xml:space="preserve">Tashkent should expand social work curricula to include practical field placements and trauma-informed care modules.</w:t>
      </w:r>
    </w:p>
    <w:p>
      <w:pPr>
        <w:numPr>
          <w:ilvl w:val="0"/>
          <w:numId w:val="1003"/>
        </w:numPr>
        <w:pStyle w:val="Compact"/>
      </w:pPr>
      <w:r>
        <w:rPr>
          <w:bCs/>
          <w:b/>
        </w:rPr>
        <w:t xml:space="preserve">Campaigns for Awareness:</w:t>
      </w:r>
      <w:r>
        <w:t xml:space="preserve"> </w:t>
      </w:r>
      <w:r>
        <w:t xml:space="preserve">Public awareness campaigns led by the Ministry of Health and Labor should destigmatize the use of social services.</w:t>
      </w:r>
    </w:p>
    <w:p>
      <w:pPr>
        <w:numPr>
          <w:ilvl w:val="0"/>
          <w:numId w:val="1003"/>
        </w:numPr>
        <w:pStyle w:val="Compact"/>
      </w:pPr>
      <w:r>
        <w:rPr>
          <w:bCs/>
          <w:b/>
        </w:rPr>
        <w:t xml:space="preserve">Public-Private Partnerships:</w:t>
      </w:r>
      <w:r>
        <w:t xml:space="preserve"> </w:t>
      </w:r>
      <w:r>
        <w:t xml:space="preserve">Encouraging NGOs and private corporations in</w:t>
      </w:r>
    </w:p>
    <w:p>
      <w:pPr>
        <w:numPr>
          <w:ilvl w:val="0"/>
          <w:numId w:val="1000"/>
        </w:numPr>
        <w:pStyle w:val="Compact"/>
      </w:pPr>
      <w:r>
        <w:t xml:space="preserve">Tashkent to fund community-based social work initiatives can supplement state resources.</w:t>
      </w:r>
    </w:p>
    <w:bookmarkEnd w:id="25"/>
    <w:bookmarkStart w:id="26" w:name="conclusion"/>
    <w:p>
      <w:pPr>
        <w:pStyle w:val="Heading2"/>
      </w:pPr>
      <w:r>
        <w:t xml:space="preserve">Conclusion</w:t>
      </w:r>
    </w:p>
    <w:p>
      <w:pPr>
        <w:pStyle w:val="FirstParagraph"/>
      </w:pPr>
      <w:r>
        <w:t xml:space="preserve">The future of social welfare in</w:t>
      </w:r>
    </w:p>
    <w:p>
      <w:pPr>
        <w:pStyle w:val="BodyText"/>
      </w:pPr>
      <w:r>
        <w:t xml:space="preserve">Uzbekistan Tashkent depends on the recognition and empowerment of the professional</w:t>
      </w:r>
      <w:r>
        <w:t xml:space="preserve"> </w:t>
      </w:r>
      <w:r>
        <w:rPr>
          <w:bCs/>
          <w:b/>
        </w:rPr>
        <w:t xml:space="preserve">Social Worker</w:t>
      </w:r>
      <w:r>
        <w:t xml:space="preserve">. As the city continues to grow, so too must its capacity to care for its most vulnerable residents. By moving beyond administrative roles toward holistic, community-centered practice, social workers can foster a more inclusive and resilient society in</w:t>
      </w:r>
      <w:r>
        <w:t xml:space="preserve"> </w:t>
      </w:r>
      <w:r>
        <w:rPr>
          <w:bCs/>
          <w:b/>
        </w:rPr>
        <w:t xml:space="preserve">Tashkent</w:t>
      </w:r>
      <w:r>
        <w:t xml:space="preserve">. It is imperative that policymakers in</w:t>
      </w:r>
    </w:p>
    <w:p>
      <w:pPr>
        <w:pStyle w:val="BodyText"/>
      </w:pPr>
      <w:r>
        <w:t xml:space="preserve">Uzbekistan prioritize the professionalization of this sector, recognizing that investing in human capital through robust social services is not just a moral obligation but an economic necessity for sustainable development. The synergy between modern social work principles and Uzbek cultural strengths offers a promising path forward for the city’s future.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Modern Uzbekistan Tashkent</dc:title>
  <dc:creator/>
  <dc:language>en</dc:language>
  <cp:keywords/>
  <dcterms:created xsi:type="dcterms:W3CDTF">2026-07-29T15:14:41Z</dcterms:created>
  <dcterms:modified xsi:type="dcterms:W3CDTF">2026-07-29T15:14:41Z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