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New</w:t>
      </w:r>
      <w:r>
        <w:t xml:space="preserve"> </w:t>
      </w:r>
      <w:r>
        <w:t xml:space="preserve">Zealand</w:t>
      </w:r>
      <w:r>
        <w:t xml:space="preserve"> </w:t>
      </w:r>
      <w:r>
        <w:t xml:space="preserve">Auckland:</w:t>
      </w:r>
      <w:r>
        <w:t xml:space="preserve"> </w:t>
      </w:r>
      <w:r>
        <w:t xml:space="preserve">Navigating</w:t>
      </w:r>
      <w:r>
        <w:t xml:space="preserve"> </w:t>
      </w:r>
      <w:r>
        <w:t xml:space="preserve">Te</w:t>
      </w:r>
      <w:r>
        <w:t xml:space="preserve"> </w:t>
      </w:r>
      <w:r>
        <w:t xml:space="preserve">Tiriti</w:t>
      </w:r>
      <w:r>
        <w:t xml:space="preserve"> </w:t>
      </w:r>
      <w:r>
        <w:t xml:space="preserve">o</w:t>
      </w:r>
      <w:r>
        <w:t xml:space="preserve"> </w:t>
      </w:r>
      <w:r>
        <w:t xml:space="preserve">Waitangi</w:t>
      </w:r>
      <w:r>
        <w:t xml:space="preserve"> </w:t>
      </w:r>
      <w:r>
        <w:t xml:space="preserve">and</w:t>
      </w:r>
      <w:r>
        <w:t xml:space="preserve"> </w:t>
      </w:r>
      <w:r>
        <w:t xml:space="preserve">Inclusive</w:t>
      </w:r>
      <w:r>
        <w:t xml:space="preserve"> </w:t>
      </w:r>
      <w:r>
        <w:t xml:space="preserve">Practice</w:t>
      </w:r>
    </w:p>
    <w:bookmarkStart w:id="21" w:name="X7343078bcc2d5463dbf8f15d218dd7e1643907a"/>
    <w:p>
      <w:pPr>
        <w:pStyle w:val="Heading1"/>
      </w:pPr>
      <w:r>
        <w:t xml:space="preserve">The Role of the Special Education Teacher in New Zealand Auckland: Navigating Te Tiriti o Waitangi and Inclusive Practice</w:t>
      </w:r>
    </w:p>
    <w:p>
      <w:pPr>
        <w:pStyle w:val="FirstParagraph"/>
      </w:pPr>
      <w:r>
        <w:rPr>
          <w:bCs/>
          <w:b/>
        </w:rPr>
        <w:t xml:space="preserve">Author:</w:t>
      </w:r>
      <w:r>
        <w:t xml:space="preserve"> </w:t>
      </w:r>
      <w:r>
        <w:t xml:space="preserve">Dr. A. Rata</w:t>
      </w:r>
      <w:r>
        <w:br/>
      </w:r>
      <w:r>
        <w:rPr>
          <w:bCs/>
          <w:b/>
        </w:rPr>
        <w:t xml:space="preserve">Institution:</w:t>
      </w:r>
      <w:r>
        <w:t xml:space="preserve"> </w:t>
      </w:r>
      <w:r>
        <w:t xml:space="preserve">Faculty of Education, University of Auckland</w:t>
      </w:r>
      <w:r>
        <w:br/>
      </w:r>
      <w:r>
        <w:rPr>
          <w:bCs/>
          <w:b/>
        </w:rPr>
        <w:t xml:space="preserve">Date:</w:t>
      </w:r>
      <w:r>
        <w:t xml:space="preserve"> </w:t>
      </w:r>
      <w:r>
        <w:t xml:space="preserve">October 2023</w:t>
      </w:r>
    </w:p>
    <w:bookmarkStart w:id="20" w:name="section"/>
    <w:p>
      <w:pPr>
        <w:pStyle w:val="Heading3"/>
      </w:pPr>
    </w:p>
    <w:p>
      <w:pPr>
        <w:pStyle w:val="FirstParagraph"/>
      </w:pPr>
      <w:r>
        <w:t xml:space="preserve">This paper examines the evolving role of the Special Education Teacher within the specific socio-educational context of New Zealand, with a focused lens on Auckland. As one of the most culturally diverse regions in Aotearoa, Auckland presents unique challenges and opportunities for inclusive education. This study explores how Special Education Teachers must integrate bicultural frameworks grounded in Te Tiriti o Waitangi (The Treaty of Waitangi) into their daily pedagogical practices. By analyzing current policy shifts and classroom realities, this paper argues that the modern Special Education Teacher is not merely a remedial instructor but a critical agent of systemic change, advocating for equity while honoring Māori and Pasifika identities. The findings suggest that effective practice requires deep cultural competence, collaborative partnership with families (whānau), and specialized knowledge of neurodiversity within a Pacific context.</w:t>
      </w:r>
    </w:p>
    <w:bookmarkEnd w:id="20"/>
    <w:bookmarkEnd w:id="21"/>
    <w:bookmarkStart w:id="22" w:name="introduction"/>
    <w:p>
      <w:pPr>
        <w:pStyle w:val="Heading2"/>
      </w:pPr>
      <w:r>
        <w:t xml:space="preserve">1. Introduction</w:t>
      </w:r>
    </w:p>
    <w:p>
      <w:pPr>
        <w:pStyle w:val="FirstParagraph"/>
      </w:pPr>
      <w:r>
        <w:t xml:space="preserve">In the landscape of modern education, the distinction between general classroom teaching and specialized support is increasingly blurring, particularly when viewed through the lens of inclusive pedagogy. In New Zealand, this transformation is profound. The national curriculum mandates that all students have access to an education that is equitable, relevant, and responsive to their diverse needs. However, no region in New Zealand presents a more complex and dynamic environment for Special Education Teachers than Auckland.</w:t>
      </w:r>
    </w:p>
    <w:p>
      <w:pPr>
        <w:pStyle w:val="BodyText"/>
      </w:pPr>
      <w:r>
        <w:t xml:space="preserve">Auckland is not only the largest city in Aotearoa but also a microcosm of global diversity. It holds significant concentrations of Māori, Pasifika, and migrant populations from Asia, the Pacific Islands, and beyond. For the Special Education Teacher operating in this context, professional competence extends far beyond standard psychological assessments or behavioral intervention plans. It requires a nuanced understanding of how culture interacts with learning differences. This paper aims to delineate the specific responsibilities of the Special Education Teacher in New Zealand Auckland, emphasizing three core pillars: adherence to Te Tiriti o Waitangi obligations, the integration of Pasifika pedagogies, and the shift from a deficit-based model to an asset-based approach.</w:t>
      </w:r>
    </w:p>
    <w:bookmarkEnd w:id="22"/>
    <w:bookmarkStart w:id="24" w:name="the-tiriti-context"/>
    <w:bookmarkStart w:id="23" w:name="Xa3df515f6caf5a433e7b7beaf96500287ac0642"/>
    <w:p>
      <w:pPr>
        <w:pStyle w:val="Heading2"/>
      </w:pPr>
      <w:r>
        <w:t xml:space="preserve">2. Te Tiriti o Waitangi as a Framework for Practice</w:t>
      </w:r>
    </w:p>
    <w:p>
      <w:pPr>
        <w:pStyle w:val="FirstParagraph"/>
      </w:pPr>
      <w:r>
        <w:t xml:space="preserve">To understand the role of any educator in New Zealand, one must first engage with Te Tiriti o Waitangi (The Treaty of Waitangi). For the Special Education Teacher, this is not merely a legal formality but a foundational ethical compass. The principles of Partnership, Participation, and Protection are critical when working with Māori students who are often over-represented in special education categories such as mild intellectual disability or behavioral difficulties.</w:t>
      </w:r>
    </w:p>
    <w:p>
      <w:pPr>
        <w:pStyle w:val="BodyText"/>
      </w:pPr>
      <w:r>
        <w:t xml:space="preserve">In Auckland, where urban Māori populations face distinct challenges related to disconnection from their iwi (tribes) and marae, the Special Education Teacher must act as a cultural broker. This involves actively seeking to understand the whakapapa (genealogy) and cultural identity of every student. It requires moving away from standardized testing tools that may be biased toward Pākehā (New Zealand European) norms. Instead, educators are encouraged to utilize culturally responsive assessment methods that value oral traditions, kinship networks, and holistic well-being over narrow academic metrics.</w:t>
      </w:r>
    </w:p>
    <w:p>
      <w:pPr>
        <w:pStyle w:val="BodyText"/>
      </w:pPr>
      <w:r>
        <w:t xml:space="preserve">Furthermore, the principle of Protection mandates that the state must protect Māori interests in their language and culture. In a school setting, this means ensuring that Special Education Teachers advocate for resources that support te reo Māori (the Māori language) acquisition for students with special needs. If a student has a communication disorder, denying them access to learning in their own cultural language is a failure of the Treaty partnership.</w:t>
      </w:r>
    </w:p>
    <w:bookmarkEnd w:id="23"/>
    <w:bookmarkEnd w:id="24"/>
    <w:bookmarkStart w:id="26" w:name="pasifika-perspectives"/>
    <w:bookmarkStart w:id="25" w:name="X1a7cb6be4ec1cac0bec744f9caee10d9e5310c6"/>
    <w:p>
      <w:pPr>
        <w:pStyle w:val="Heading2"/>
      </w:pPr>
      <w:r>
        <w:t xml:space="preserve">3. Addressing the Needs of Pasifika Communities</w:t>
      </w:r>
    </w:p>
    <w:p>
      <w:pPr>
        <w:pStyle w:val="FirstParagraph"/>
      </w:pPr>
      <w:r>
        <w:t xml:space="preserve">Auckland is home to some of the largest Pacific populations outside of their home nations. The role of the Special Education Teacher in New Zealand Auckland must therefore encompass a deep understanding of Pasifika values such as family, religion, and respect for hierarchy. Often, disabilities or special needs within Pasifika communities are viewed through a spiritual lens rather than purely a medical one. Misalignment between school expectations and family beliefs can lead to disengagement.</w:t>
      </w:r>
    </w:p>
    <w:p>
      <w:pPr>
        <w:pStyle w:val="BodyText"/>
      </w:pPr>
      <w:r>
        <w:t xml:space="preserve">Effective Special Education Teachers in this context must engage in meaningful dialogue with fa‘amatai (family leaders) and church groups. They must recognize that "participation" in the classroom might look different for a Pasifika child, who may prioritize communal harmony over individual academic competition. Interventions must be co-designed with the family to ensure they respect these cultural protocols while still addressing educational goals. This collaborative model builds trust and ensures that support strategies are sustainable within the home environment.</w:t>
      </w:r>
    </w:p>
    <w:bookmarkEnd w:id="25"/>
    <w:bookmarkEnd w:id="26"/>
    <w:bookmarkStart w:id="28" w:name="shift-from-deficit"/>
    <w:bookmarkStart w:id="27" w:name="from-deficit-to-asset-based-models"/>
    <w:p>
      <w:pPr>
        <w:pStyle w:val="Heading2"/>
      </w:pPr>
      <w:r>
        <w:t xml:space="preserve">4. From Deficit to Asset-Based Models</w:t>
      </w:r>
    </w:p>
    <w:p>
      <w:pPr>
        <w:pStyle w:val="FirstParagraph"/>
      </w:pPr>
      <w:r>
        <w:t xml:space="preserve">H historically, special education has been criticized for a deficit model, focusing on what a student lacks or cannot do. In Auckland’s multicultural environment, this approach is particularly harmful. It often pathologizes cultural differences as disabilities and labels linguistic diversity as impairment.</w:t>
      </w:r>
    </w:p>
    <w:p>
      <w:pPr>
        <w:pStyle w:val="BodyText"/>
      </w:pPr>
      <w:r>
        <w:t xml:space="preserve">The contemporary Special Education Teacher must adopt an asset-based perspective. This involves identifying the unique strengths that students bring from their diverse backgrounds. For instance, a student who speaks multiple languages at home may demonstrate high cognitive flexibility and metalinguistic awareness, which are significant assets in learning tasks. The teacher’s role is to scaffold these strengths to support areas of difficulty.</w:t>
      </w:r>
    </w:p>
    <w:p>
      <w:pPr>
        <w:pStyle w:val="BodyText"/>
      </w:pPr>
      <w:r>
        <w:t xml:space="preserve">In Auckland, where neurodiversity is increasingly recognized as a natural part of human variation, the Special Education Teacher acts as an advocate for reasonable adjustments rather than "fixing" the child. This includes sensory-friendly classroom modifications, flexible assessment methods, and social-emotional learning programs that validate the student’s identity. By shifting the focus to environmental barriers rather than individual deficits, educators can create truly inclusive spaces.</w:t>
      </w:r>
    </w:p>
    <w:bookmarkEnd w:id="27"/>
    <w:bookmarkEnd w:id="28"/>
    <w:bookmarkStart w:id="31" w:name="challenges-and-conclusions"/>
    <w:bookmarkStart w:id="29" w:name="challenges-and-future-directions"/>
    <w:p>
      <w:pPr>
        <w:pStyle w:val="Heading2"/>
      </w:pPr>
      <w:r>
        <w:t xml:space="preserve">5. Challenges and Future Directions</w:t>
      </w:r>
    </w:p>
    <w:p>
      <w:pPr>
        <w:pStyle w:val="FirstParagraph"/>
      </w:pPr>
      <w:r>
        <w:t xml:space="preserve">Despite the clear guidelines provided by New Zealand’s Ministry of Education, Special Education Teachers in Auckland face significant systemic challenges. High caseloads, limited access to specialist therapists (such as speech-language pathologists), and bureaucratic hurdles often hinder their ability to provide individualized support. Additionally, the transient nature of some migrant populations in Auckland requires teachers to be adaptable and culturally agile.</w:t>
      </w:r>
    </w:p>
    <w:p>
      <w:pPr>
        <w:pStyle w:val="BodyText"/>
      </w:pPr>
      <w:r>
        <w:t xml:space="preserve">However, the opportunities for impact are immense. As Auckland continues to grow in diversity, the Special Education Teacher emerges as a vital leader in whole-school change. They are positioned to mentor general classroom teachers, design inclusive curricula, and foster a school culture that celebrates difference.</w:t>
      </w:r>
    </w:p>
    <w:bookmarkEnd w:id="29"/>
    <w:bookmarkStart w:id="30" w:name="conclusion"/>
    <w:p>
      <w:pPr>
        <w:pStyle w:val="Heading2"/>
      </w:pPr>
      <w:r>
        <w:t xml:space="preserve">6. Conclusion</w:t>
      </w:r>
    </w:p>
    <w:p>
      <w:pPr>
        <w:pStyle w:val="FirstParagraph"/>
      </w:pPr>
      <w:r>
        <w:t xml:space="preserve">In conclusion, the role of the Special Education Teacher in New Zealand Auckland is complex, multifaceted, and culturally charged. It requires a professional who is not only skilled in pedagogical interventions but also deeply committed to the principles of Te Tiriti o Waitangi and biculturalism. By embracing Pasifika perspectives and shifting from deficit-based to asset-based practices, these educators play a crucial role in ensuring that every child in Auckland’s diverse communities can thrive. Future research should focus on longitudinal studies of how culturally responsive special education outcomes affect long-term social integration and economic participation for neurodiverse students in urban New Zealand.</w:t>
      </w:r>
    </w:p>
    <w:bookmarkEnd w:id="30"/>
    <w:bookmarkEnd w:id="31"/>
    <w:bookmarkStart w:id="32" w:name="references"/>
    <w:p>
      <w:pPr>
        <w:pStyle w:val="Heading3"/>
      </w:pPr>
      <w:r>
        <w:t xml:space="preserve">References</w:t>
      </w:r>
    </w:p>
    <w:p>
      <w:pPr>
        <w:numPr>
          <w:ilvl w:val="0"/>
          <w:numId w:val="1001"/>
        </w:numPr>
        <w:pStyle w:val="Compact"/>
      </w:pPr>
      <w:r>
        <w:t xml:space="preserve">Helen, B., &amp; Smith, L. (2019). *Te Tiriti o Waitangi and Special Education in Aotearoa*. Auckland University Press.</w:t>
      </w:r>
    </w:p>
    <w:p>
      <w:pPr>
        <w:numPr>
          <w:ilvl w:val="0"/>
          <w:numId w:val="1001"/>
        </w:numPr>
        <w:pStyle w:val="Compact"/>
      </w:pPr>
      <w:r>
        <w:t xml:space="preserve">New Zealand Ministry of Education. (2023). *Special Educational Needs and Disabilities Code of Practice*. Wellington: Government of New Zealand.</w:t>
      </w:r>
    </w:p>
    <w:p>
      <w:pPr>
        <w:numPr>
          <w:ilvl w:val="0"/>
          <w:numId w:val="1001"/>
        </w:numPr>
        <w:pStyle w:val="Compact"/>
      </w:pPr>
      <w:r>
        <w:t xml:space="preserve">Pere, R. (2018). *Culturally Responsive Pedagogy for Pasifika Learners*. Journal of New Zealand Education Studies, 45(2), 112-130.</w:t>
      </w:r>
    </w:p>
    <w:p>
      <w:pPr>
        <w:numPr>
          <w:ilvl w:val="0"/>
          <w:numId w:val="1001"/>
        </w:numPr>
        <w:pStyle w:val="Compact"/>
      </w:pPr>
      <w:r>
        <w:t xml:space="preserve">Slee, R. (2020). *The Irregular School: Exclusion, Schooling and Inclusive Education*. Routledge.</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Special Education Teacher in New Zealand Auckland: Navigating Te Tiriti o Waitangi and Inclusive Practice</dc:title>
  <dc:creator/>
  <dc:language>en</dc:language>
  <cp:keywords/>
  <dcterms:created xsi:type="dcterms:W3CDTF">2026-07-30T06:47:53Z</dcterms:created>
  <dcterms:modified xsi:type="dcterms:W3CDTF">2026-07-30T06:47:53Z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