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Modern</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Guangzhou</w:t>
      </w:r>
    </w:p>
    <w:bookmarkStart w:id="21" w:name="X651d2c69b43a41104bd49ac2f65ced8917eb2b8"/>
    <w:p>
      <w:pPr>
        <w:pStyle w:val="Heading1"/>
      </w:pPr>
      <w:r>
        <w:t xml:space="preserve">The Role of the Teacher Primary in Modern Education: A Case Study of China Guangzhou</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24, 2023</w:t>
      </w:r>
      <w:r>
        <w:br/>
      </w:r>
      <w:r>
        <w:rPr>
          <w:bCs/>
          <w:b/>
        </w:rPr>
        <w:t xml:space="preserve">Type:</w:t>
      </w:r>
    </w:p>
    <w:bookmarkStart w:id="20" w:name="absract"/>
    <w:p>
      <w:pPr>
        <w:pStyle w:val="Heading3"/>
      </w:pPr>
      <w:r>
        <w:t xml:space="preserve">Absract</w:t>
      </w:r>
    </w:p>
    <w:p>
      <w:pPr>
        <w:pStyle w:val="FirstParagraph"/>
      </w:pPr>
      <w:r>
        <w:t xml:space="preserve">This paper explores the dynamic and multifaceted role of the Teacher Primary within the rapidly evolving educational landscape of China Guangzhou. As a global hub for trade, technology, and cultural exchange, Guangzhou presents a unique context for primary education reform. The study analyzes how primary school teachers in this region are adapting to new curricular standards, integrating digital technologies into traditional pedagogy, and addressing the socio-emotional needs of students in a hyper-competitive environment. Through an examination of current trends and challenges, this paper argues that the Teacher Primary is no longer merely a transmitter of knowledge but has evolved into a facilitator of critical thinking, emotional intelligence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Modern Education: A Case Study of China Guangzhou</dc:title>
  <dc:creator/>
  <dc:language>en</dc:language>
  <cp:keywords/>
  <dcterms:created xsi:type="dcterms:W3CDTF">2026-07-29T15:09:37Z</dcterms:created>
  <dcterms:modified xsi:type="dcterms:W3CDTF">2026-07-29T15:09:37Z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