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32b046c211168a6c8a7ecf03c286e89d2da503c"/>
    <w:p>
      <w:pPr>
        <w:pStyle w:val="Heading1"/>
      </w:pPr>
      <w:r>
        <w:t xml:space="preserve">Bridging Tradition and Innovation: The Evolving Role of the Primary Teacher in Israel Tel Aviv</w:t>
      </w:r>
    </w:p>
    <w:p>
      <w:pPr>
        <w:pStyle w:val="FirstParagraph"/>
      </w:pPr>
      <w:r>
        <w:rPr>
          <w:bCs/>
          <w:b/>
        </w:rPr>
        <w:t xml:space="preserve">A Conference Paper Presented at the International Symposium on Urban Education Strategies</w:t>
      </w:r>
    </w:p>
    <w:p>
      <w:pPr>
        <w:pStyle w:val="BodyText"/>
      </w:pPr>
      <w:r>
        <w:rPr>
          <w:iCs/>
          <w:i/>
        </w:rPr>
        <w:t xml:space="preserve">Focusing on Pedagogical Adaptation in Diverse Metropolitan Contexts</w:t>
      </w:r>
    </w:p>
    <w:bookmarkStart w:id="20" w:name="abstract"/>
    <w:p>
      <w:pPr>
        <w:pStyle w:val="Heading2"/>
      </w:pPr>
      <w:r>
        <w:t xml:space="preserve">Abstract</w:t>
      </w:r>
    </w:p>
    <w:p>
      <w:pPr>
        <w:pStyle w:val="FirstParagraph"/>
      </w:pPr>
      <w:r>
        <w:t xml:space="preserve">This paper examines the multifaceted role of the Teacher Primary within the unique educational landscape of Israel Tel Aviv. As a global metropolis characterized by intense cultural diversity, rapid technological integration, and complex socio-economic dynamics, Tel Aviv presents a distinct set of challenges and opportunities for early childhood educators. We argue that the efficacy of primary education in this region is contingent upon teachers' ability to navigate linguistic pluralism, foster social cohesion among disparate communities, and leverage digital tools effectively. Through an analysis of current pedagogical practices and sociological data from Tel Aviv’s school systems, this study highlights the critical necessity for specialized professional development that addresses both the academic rigor required by international standards and the emotional intelligence needed to support students in a high-pressure urban environment.</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Tel Aviv</w:t>
      </w:r>
      <w:r>
        <w:t xml:space="preserve"> </w:t>
      </w:r>
      <w:r>
        <w:t xml:space="preserve">classroom is fundamentally different from rural or suburban educational settings elsewhere. The city serves as the economic and cultural heart of Israel, attracting a diverse population ranging from long-standing residents to waves of new immigrants (Olim) and international tech workers. Within this vibrant but chaotic urban fabric, the primary school teacher emerges not merely as an instructor of basic literacy and numeracy, but as a central agent of social integration. The</w:t>
      </w:r>
      <w:r>
        <w:t xml:space="preserve"> </w:t>
      </w:r>
      <w:r>
        <w:rPr>
          <w:bCs/>
          <w:b/>
        </w:rPr>
        <w:t xml:space="preserve">Teacher Primary</w:t>
      </w:r>
      <w:r>
        <w:t xml:space="preserve"> </w:t>
      </w:r>
      <w:r>
        <w:t xml:space="preserve">model in Israel has traditionally been rooted in progressive educational philosophies that emphasize child-centered learning. However, the modern demands of</w:t>
      </w:r>
      <w:r>
        <w:t xml:space="preserve"> </w:t>
      </w:r>
      <w:r>
        <w:rPr>
          <w:bCs/>
          <w:b/>
        </w:rPr>
        <w:t xml:space="preserve">Tel Aviv</w:t>
      </w:r>
      <w:r>
        <w:t xml:space="preserve">'s fast-paced environment require a re-evaluation of how these teachers prepare students for an increasingly competitive global future.</w:t>
      </w:r>
    </w:p>
    <w:bookmarkEnd w:id="21"/>
    <w:bookmarkStart w:id="23" w:name="Xac6ba13e243038b56e3a14acdbd6656650f8b56"/>
    <w:p>
      <w:pPr>
        <w:pStyle w:val="Heading2"/>
      </w:pPr>
      <w:r>
        <w:t xml:space="preserve">2. The Demographic Complexity of Tel Aviv Classrooms</w:t>
      </w:r>
    </w:p>
    <w:p>
      <w:pPr>
        <w:pStyle w:val="FirstParagraph"/>
      </w:pPr>
      <w:r>
        <w:t xml:space="preserve">To understand the role of the</w:t>
      </w:r>
      <w:r>
        <w:t xml:space="preserve"> </w:t>
      </w:r>
      <w:r>
        <w:rPr>
          <w:bCs/>
          <w:b/>
        </w:rPr>
        <w:t xml:space="preserve">Tel AvivTel Aviv</w:t>
      </w:r>
      <w:r>
        <w:t xml:space="preserve">, one must first appreciate its demographic heterogeneity. A single primary classroom in</w:t>
      </w:r>
    </w:p>
    <w:p>
      <w:pPr>
        <w:pStyle w:val="BodyText"/>
      </w:pPr>
      <w:r>
        <w:t xml:space="preserve">Tel Aviv Tel Aviv .</w:t>
      </w:r>
    </w:p>
    <w:bookmarkStart w:id="22" w:name="Xa10044deb27fd9d70faa44228199118cf53dd55"/>
    <w:p>
      <w:pPr>
        <w:pStyle w:val="Heading3"/>
      </w:pPr>
      <w:r>
        <w:t xml:space="preserve">2.1 Linguistic Diversity and Academic Inclusion</w:t>
      </w:r>
    </w:p>
    <w:p>
      <w:pPr>
        <w:pStyle w:val="FirstParagraph"/>
      </w:pPr>
      <w:r>
        <w:t xml:space="preserve">A significant portion of the student population in</w:t>
      </w:r>
      <w:r>
        <w:t xml:space="preserve"> </w:t>
      </w:r>
      <w:r>
        <w:rPr>
          <w:bCs/>
          <w:b/>
        </w:rPr>
        <w:t xml:space="preserve">Tel Aviv</w:t>
      </w:r>
      <w:r>
        <w:rPr>
          <w:iCs/>
          <w:i/>
        </w:rPr>
        <w:t xml:space="preserve">(Hebrew, Russian, English, Amharic, etc.</w:t>
      </w:r>
      <w:r>
        <w:t xml:space="preserve">.</w:t>
      </w:r>
    </w:p>
    <w:p>
      <w:pPr>
        <w:pStyle w:val="BodyText"/>
      </w:pPr>
      <w:r>
        <w:t xml:space="preserve">The Socio-Economic Divide</w:t>
      </w:r>
    </w:p>
    <w:p>
      <w:pPr>
        <w:pStyle w:val="BodyText"/>
      </w:pPr>
      <w:r>
        <w:t xml:space="preserve">Tel Aviv Tel Aviv</w:t>
      </w:r>
    </w:p>
    <w:p>
      <w:pPr>
        <w:pStyle w:val="BodyText"/>
      </w:pPr>
      <w:r>
        <w:t xml:space="preserve">(</w:t>
      </w:r>
    </w:p>
    <w:p>
      <w:pPr>
        <w:pStyle w:val="BodyText"/>
      </w:pPr>
      <w:r>
        <w:t xml:space="preserve">Tel Aviv Tel Aviv.</w:t>
      </w:r>
    </w:p>
    <w:bookmarkEnd w:id="22"/>
    <w:bookmarkEnd w:id="23"/>
    <w:bookmarkStart w:id="25" w:name="Xb526c8daf54fef51224f90635174cf1128c035e"/>
    <w:p>
      <w:pPr>
        <w:pStyle w:val="Heading2"/>
      </w:pPr>
      <w:r>
        <w:t xml:space="preserve">4. Pedagogical Strategies for the Modern Primary Teacher</w:t>
      </w:r>
    </w:p>
    <w:p>
      <w:pPr>
        <w:pStyle w:val="FirstParagraph"/>
      </w:pPr>
      <w:r>
        <w:t xml:space="preserve">In response to these challenges, the</w:t>
      </w:r>
    </w:p>
    <w:p>
      <w:pPr>
        <w:pStyle w:val="BodyText"/>
      </w:pPr>
      <w:r>
        <w:t xml:space="preserve">Tel Aviv</w:t>
      </w:r>
    </w:p>
    <w:p>
      <w:pPr>
        <w:pStyle w:val="BodyText"/>
      </w:pPr>
      <w:r>
        <w:t xml:space="preserve">Tel Aviv</w:t>
      </w:r>
      <w:r>
        <w:rPr>
          <w:bCs/>
          <w:b/>
        </w:rPr>
        <w:t xml:space="preserve">The Role of Digital Literacy</w:t>
      </w:r>
    </w:p>
    <w:p>
      <w:pPr>
        <w:pStyle w:val="BodyText"/>
      </w:pPr>
      <w:r>
        <w:t xml:space="preserve">(</w:t>
      </w:r>
    </w:p>
    <w:p>
      <w:pPr>
        <w:pStyle w:val="BodyText"/>
      </w:pPr>
      <w:r>
        <w:t xml:space="preserve">(</w:t>
      </w:r>
    </w:p>
    <w:p>
      <w:pPr>
        <w:pStyle w:val="BodyText"/>
      </w:pPr>
      <w:r>
        <w:t xml:space="preserve">.</w:t>
      </w:r>
    </w:p>
    <w:bookmarkStart w:id="24" w:name="Xcf3ed94808197a8f760c030097701cae904f448"/>
    <w:p>
      <w:pPr>
        <w:pStyle w:val="Heading3"/>
      </w:pPr>
      <w:r>
        <w:t xml:space="preserve">. Professional Development and Support Systems.</w:t>
      </w:r>
    </w:p>
    <w:p>
      <w:pPr>
        <w:pStyle w:val="FirstParagraph"/>
      </w:pPr>
      <w:r>
        <w:t xml:space="preserve">.</w:t>
      </w:r>
    </w:p>
    <w:p>
      <w:pPr>
        <w:pStyle w:val="BodyText"/>
      </w:pPr>
      <w:r>
        <w:t xml:space="preserve">. ConclusionTel Aviv</w:t>
      </w:r>
    </w:p>
    <w:p>
      <w:pPr>
        <w:pStyle w:val="BodyText"/>
      </w:pPr>
      <w:r>
        <w:t xml:space="preserve">Their role extends far beyond the curriculum; they are architects of social cohesion and navigators of complex cultural landscapes. As</w:t>
      </w:r>
    </w:p>
    <w:p>
      <w:pPr>
        <w:pStyle w:val="BodyText"/>
      </w:pPr>
      <w:r>
        <w:t xml:space="preserve">Tel Aviv</w:t>
      </w:r>
    </w:p>
    <w:p>
      <w:pPr>
        <w:pStyle w:val="BodyText"/>
      </w:pPr>
      <w:r>
        <w:t xml:space="preserv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Teacher Primary in Israel Tel Aviv</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