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Responsiveness:</w:t>
      </w:r>
      <w:r>
        <w:t xml:space="preserve"> </w:t>
      </w:r>
      <w:r>
        <w:t xml:space="preserve">A</w:t>
      </w:r>
      <w:r>
        <w:t xml:space="preserve"> </w:t>
      </w:r>
      <w:r>
        <w:t xml:space="preserve">Framework</w:t>
      </w:r>
      <w:r>
        <w:t xml:space="preserve"> </w:t>
      </w:r>
      <w:r>
        <w:t xml:space="preserve">for</w:t>
      </w:r>
      <w:r>
        <w:t xml:space="preserve"> </w:t>
      </w:r>
      <w:r>
        <w:t xml:space="preserve">Secondary</w:t>
      </w:r>
      <w:r>
        <w:t xml:space="preserve"> </w:t>
      </w:r>
      <w:r>
        <w:t xml:space="preserve">Education</w:t>
      </w:r>
      <w:r>
        <w:t xml:space="preserve"> </w:t>
      </w:r>
      <w:r>
        <w:t xml:space="preserve">in</w:t>
      </w:r>
      <w:r>
        <w:t xml:space="preserve"> </w:t>
      </w:r>
      <w:r>
        <w:t xml:space="preserve">Australia</w:t>
      </w:r>
      <w:r>
        <w:t xml:space="preserve"> </w:t>
      </w:r>
      <w:r>
        <w:t xml:space="preserve">Melbourne</w:t>
      </w:r>
    </w:p>
    <w:bookmarkStart w:id="28" w:name="Xb196361a8136259bba182af1640038735d3d677"/>
    <w:p>
      <w:pPr>
        <w:pStyle w:val="Heading1"/>
      </w:pPr>
      <w:r>
        <w:t xml:space="preserve">Pedagogical Innovation and Cultural Responsiveness in the Modern Classroom</w:t>
      </w:r>
    </w:p>
    <w:p>
      <w:pPr>
        <w:pStyle w:val="FirstParagraph"/>
      </w:pPr>
      <w:r>
        <w:rPr>
          <w:bCs/>
          <w:b/>
        </w:rPr>
        <w:t xml:space="preserve">A Case Study of Teacher Secondary Practices in Australia Melbourne</w:t>
      </w:r>
    </w:p>
    <w:p>
      <w:pPr>
        <w:pStyle w:val="BodyText"/>
      </w:pPr>
      <w:r>
        <w:rPr>
          <w:iCs/>
          <w:i/>
        </w:rPr>
        <w:t xml:space="preserve">Presented at the International Conference on Educational Development &amp; Regional Pedagogies, 2024</w:t>
      </w:r>
    </w:p>
    <w:p>
      <w:pPr>
        <w:pStyle w:val="BodyText"/>
      </w:pPr>
      <w:r>
        <w:rPr>
          <w:bCs/>
          <w:b/>
        </w:rPr>
        <w:t xml:space="preserve">Abstract:</w:t>
      </w:r>
      <w:r>
        <w:br/>
      </w:r>
      <w:r>
        <w:t xml:space="preserve">This paper examines the evolving role of the Teacher Secondary within the distinct socio-educational landscape of Australia Melbourne. As metropolitan schools face increasing diversity in student demographics, academic expectations, and technological integration requirements, secondary educators must adapt their pedagogical frameworks to remain effective. Through a qualitative analysis of current teaching practices in selected high schools across Melbourne’s suburban and urban districts, this study highlights the critical intersection of cultural responsiveness, digital literacy, and mental health support. The findings suggest that successful secondary education in this region requires a holistic approach where the Teacher Secondary acts not only as an instructor but also as a facilitator of social inclusion and emotional resilience.</w:t>
      </w:r>
    </w:p>
    <w:bookmarkStart w:id="20" w:name="introduction"/>
    <w:p>
      <w:pPr>
        <w:pStyle w:val="Heading2"/>
      </w:pPr>
      <w:r>
        <w:t xml:space="preserve">1. Introduction</w:t>
      </w:r>
    </w:p>
    <w:p>
      <w:pPr>
        <w:pStyle w:val="FirstParagraph"/>
      </w:pPr>
      <w:r>
        <w:t xml:space="preserve">The landscape of secondary education is undergoing a profound transformation globally, yet local contexts dictate the specific nature of these changes. In Australia Melbourne, one of the most culturally diverse and rapidly urbanizing metropolitan areas in Oceania, secondary schools serve as microcosms of broader societal shifts. The role of the Teacher Secondary has consequently expanded beyond traditional subject delivery to encompass complex social responsibilities. This paper argues that for educators in this region to succeed, they must adopt a dual focus on rigorous academic standards and culturally responsive pedagogy.</w:t>
      </w:r>
    </w:p>
    <w:p>
      <w:pPr>
        <w:pStyle w:val="BodyText"/>
      </w:pPr>
      <w:r>
        <w:t xml:space="preserve">Melbourne’s educational ecosystem is characterized by high student mobility, significant socioeconomic disparities between suburbs, and a student population with varying levels of English language proficiency. In this context the Teacher Secondary cannot rely solely on standardized instructional methods. Instead they must employ adaptive strategies that acknowledge the lived experiences of their students while maintaining alignment with the Australian Curriculum frameworks.</w:t>
      </w:r>
    </w:p>
    <w:bookmarkEnd w:id="20"/>
    <w:bookmarkStart w:id="21" w:name="Xcb510ca4a8daa20e5608b9633dc922f1eb71715"/>
    <w:p>
      <w:pPr>
        <w:pStyle w:val="Heading2"/>
      </w:pPr>
      <w:r>
        <w:t xml:space="preserve">2. The Changing Demographics of Australia Melbourne</w:t>
      </w:r>
    </w:p>
    <w:p>
      <w:pPr>
        <w:pStyle w:val="FirstParagraph"/>
      </w:pPr>
      <w:r>
        <w:t xml:space="preserve">To understand the demands placed on secondary educators in this region it is essential to first analyze the student body they serve. Australia Melbourne is home to a highly diverse population, with significant communities originating from Asia Africa and Europe. This diversity presents both opportunities and challenges for Teacher Secondary practitioners.</w:t>
      </w:r>
    </w:p>
    <w:p>
      <w:pPr>
        <w:pStyle w:val="BodyText"/>
      </w:pPr>
      <w:r>
        <w:t xml:space="preserve">Recent data indicates that over forty percent of students in Melbourne metropolitan schools have a background other than English-speaking heritage. For the Teacher Secondary this means that language barriers can often impede content mastery, not because of cognitive deficits but due to linguistic hurdles. Consequently effective teaching strategies must include scaffolding techniques, visual aids, and collaborative learning structures that allow for peer-to-peer support.</w:t>
      </w:r>
    </w:p>
    <w:p>
      <w:pPr>
        <w:pStyle w:val="BodyText"/>
      </w:pPr>
      <w:r>
        <w:t xml:space="preserve">Furthermore socioeconomic status plays a crucial role in educational outcomes in Melbourne. Schools located in lower socioeconomic areas often face resource constraints and higher levels of student disengagement. The Teacher Secondary operating within these environments must be resilient advocates who can navigate systemic challenges while providing individualized support to vulnerable students.</w:t>
      </w:r>
    </w:p>
    <w:bookmarkEnd w:id="21"/>
    <w:bookmarkStart w:id="24" w:name="X36909cc387eacfe8efd9a52cc1f17f45f73d23c"/>
    <w:p>
      <w:pPr>
        <w:pStyle w:val="Heading2"/>
      </w:pPr>
      <w:r>
        <w:t xml:space="preserve">3. Pedagogical Strategies for the Modern Teacher Secondary</w:t>
      </w:r>
    </w:p>
    <w:bookmarkStart w:id="22" w:name="X5325b18992f37b9a7ac8b7a9ad81c902e7e361d"/>
    <w:p>
      <w:pPr>
        <w:pStyle w:val="Heading3"/>
      </w:pPr>
      <w:r>
        <w:t xml:space="preserve">3.1 Cultural Responsiveness as a Core Competency</w:t>
      </w:r>
    </w:p>
    <w:p>
      <w:pPr>
        <w:pStyle w:val="FirstParagraph"/>
      </w:pPr>
      <w:r>
        <w:br/>
      </w:r>
    </w:p>
    <w:p>
      <w:pPr>
        <w:pStyle w:val="BodyText"/>
      </w:pPr>
      <w:r>
        <w:t xml:space="preserve">Cultural responsiveness is no longer an optional add-on but a fundamental requirement for any Teacher Secondary working in Australia Melbourne. This approach involves recognizing students’ cultural references and incorporating them into classroom content and interactions. For instance history or English lessons should include perspectives from Indigenous Australians as well as migrant communities to foster a sense of belonging.</w:t>
      </w:r>
    </w:p>
    <w:p>
      <w:pPr>
        <w:pStyle w:val="BodyText"/>
      </w:pPr>
      <w:r>
        <w:t xml:space="preserve">In practice this means moving away from a deficit model of education which views cultural differences as obstacles toward an asset-based model that views diversity as a strength. Teacher Secondary professionals are encouraged to engage in ongoing professional development regarding Aboriginal and Torres Strait Islander histories and cultures, ensuring that their teaching practices honor the First Peoples of this land.</w:t>
      </w:r>
    </w:p>
    <w:bookmarkEnd w:id="22"/>
    <w:bookmarkStart w:id="23" w:name="integrating-digital-literacy"/>
    <w:p>
      <w:pPr>
        <w:pStyle w:val="Heading3"/>
      </w:pPr>
      <w:r>
        <w:t xml:space="preserve">3.2 Integrating Digital Literacy</w:t>
      </w:r>
    </w:p>
    <w:p>
      <w:pPr>
        <w:pStyle w:val="FirstParagraph"/>
      </w:pPr>
      <w:r>
        <w:br/>
      </w:r>
    </w:p>
    <w:p>
      <w:pPr>
        <w:pStyle w:val="BodyText"/>
      </w:pPr>
      <w:r>
        <w:t xml:space="preserve">The post-pandemic educational landscape has cemented technology as a central pillar of secondary education in Melbourne. The Teacher Secondary must be proficient in digital tools not merely for content delivery but for facilitating engagement and assessment. From learning management systems like Google Classroom to interactive platforms that allow for real-time feedback educators are expected to blend traditional pedagogy with innovative technological solutions.</w:t>
      </w:r>
    </w:p>
    <w:p>
      <w:pPr>
        <w:pStyle w:val="BodyText"/>
      </w:pPr>
      <w:r>
        <w:t xml:space="preserve">However technology integration also requires critical thinking. Students must be taught digital citizenship ethics and safety alongside technical skills. The role of the Teacher Secondary thus extends to mentoring students in navigating the online world responsibly a task that is particularly challenging given the prevalent use of social media among adolescents in Australia Melbourne.</w:t>
      </w:r>
    </w:p>
    <w:p>
      <w:pPr>
        <w:pStyle w:val="BodyText"/>
      </w:pPr>
      <w:r>
        <w:t xml:space="preserve">3.3 Mental Health and Well-being Support</w:t>
      </w:r>
    </w:p>
    <w:p>
      <w:pPr>
        <w:pStyle w:val="BodyText"/>
      </w:pPr>
      <w:r>
        <w:br/>
      </w:r>
    </w:p>
    <w:p>
      <w:pPr>
        <w:pStyle w:val="BodyText"/>
      </w:pPr>
      <w:r>
        <w:t xml:space="preserve">Alexandria health issues among secondary students have risen sharply in recent years anxiety depression and social isolation are becoming increasingly prevalent concerns. In the Australian Melbourne context schools are often the first point of contact for students experiencing mental health struggles. Therefore Teacher Secondary staff must be equipped with basic psychological first aid skills and the ability to refer students to specialized support services.</w:t>
      </w:r>
    </w:p>
    <w:p>
      <w:pPr>
        <w:pStyle w:val="BodyText"/>
      </w:pPr>
      <w:r>
        <w:t xml:space="preserve">This emotional labor is significant and can lead to burnout if not managed properly. Schools in Melbourne are increasingly implementing pastoral care systems where every student has a dedicated mentor or advisor, often a Teacher Secondary who provides continuity of care throughout their high school years. This relational aspect of teaching is paramount; students need to feel known valued and supported by the adults in their lives.</w:t>
      </w:r>
    </w:p>
    <w:bookmarkEnd w:id="23"/>
    <w:bookmarkEnd w:id="24"/>
    <w:bookmarkStart w:id="25" w:name="X6359aacacdcf7538e2bfc369acb3bd339eccc57"/>
    <w:p>
      <w:pPr>
        <w:pStyle w:val="Heading2"/>
      </w:pPr>
      <w:r>
        <w:t xml:space="preserve">4. Challenges and Recommendations for Policy Makers</w:t>
      </w:r>
    </w:p>
    <w:p>
      <w:pPr>
        <w:pStyle w:val="FirstParagraph"/>
      </w:pPr>
      <w:r>
        <w:t xml:space="preserve">Despite these necessary shifts significant challenges remain. Teacher Secondary professionals in Australia Melbourne often report high workloads bureaucratic pressures and inadequate training in areas such as trauma-informed care or advanced digital pedagogy. To address these issues several recommendations are proposed.</w:t>
      </w:r>
    </w:p>
    <w:p>
      <w:pPr>
        <w:pStyle w:val="BodyText"/>
      </w:pPr>
      <w:r>
        <w:t xml:space="preserve">Firstly professional development programs must be ongoing and contextualized generic workshops are insufficient for the nuanced needs of diverse classrooms. Secondly schools should allocate dedicated time for collaborative planning allowing Teacher Secondary educators to share best practices regarding inclusive curriculum design. Finally policy makers must ensure equitable funding distribution so that schools in disadvantaged areas receive additional resources to support their students’ holistic development.</w:t>
      </w:r>
    </w:p>
    <w:bookmarkEnd w:id="25"/>
    <w:bookmarkStart w:id="27" w:name="conclusion"/>
    <w:p>
      <w:pPr>
        <w:pStyle w:val="Heading2"/>
      </w:pPr>
      <w:r>
        <w:t xml:space="preserve">5. Conclusion</w:t>
      </w:r>
    </w:p>
    <w:p>
      <w:pPr>
        <w:pStyle w:val="FirstParagraph"/>
      </w:pPr>
      <w:r>
        <w:t xml:space="preserve">The future of secondary education in Australia Melbourne hinges on the ability of educators to adapt to a complex and dynamic environment. The modern Teacher Secondary is not just a transmitter of knowledge but a facilitator of cultural understanding, digital competence, and emotional well-being. By embracing culturally responsive pedagogies leveraging technology effectively and prioritizing student mental health educators can create inclusive learning environments that prepare students for global citizenship.</w:t>
      </w:r>
    </w:p>
    <w:p>
      <w:pPr>
        <w:pStyle w:val="BodyText"/>
      </w:pPr>
      <w:r>
        <w:t xml:space="preserve">As we move forward it is imperative that stakeholders including government bodies university faculties school administrators and the community at large recognize the immense value of these professionals. Investing in the support growth and recognition of Teacher Secondary staff will ultimately yield dividends in student achievement social cohesion and educational equity across Melbourne.</w:t>
      </w:r>
    </w:p>
    <w:bookmarkStart w:id="26" w:name="references"/>
    <w:p>
      <w:pPr>
        <w:pStyle w:val="Heading3"/>
      </w:pPr>
      <w:r>
        <w:t xml:space="preserve">References</w:t>
      </w:r>
    </w:p>
    <w:p>
      <w:pPr>
        <w:pStyle w:val="FirstParagraph"/>
      </w:pPr>
      <w:r>
        <w:t xml:space="preserve">Australian Curriculum Assessment and Reporting Authority (ACARA). (2023). *The Australian Curriculum: Humanities and Social Sciences*. Canberra: ACARA.</w:t>
      </w:r>
    </w:p>
    <w:p>
      <w:pPr>
        <w:pStyle w:val="BodyText"/>
      </w:pPr>
      <w:r>
        <w:t xml:space="preserve">Bishop, R. E., &amp; Berryman, M. (2010). *Teaching Well: Engaging with Diversity in New Zealand Secondary Schools*. Wellington NZ Ministry of Education.</w:t>
      </w:r>
    </w:p>
    <w:p>
      <w:pPr>
        <w:pStyle w:val="BodyText"/>
      </w:pPr>
      <w:r>
        <w:t xml:space="preserve">Gale T., &amp; Parker S. (2021). *Mental Health Support in Australian Schools: A Guide for Educators*. Melbourne VIC Oxford University Press.</w:t>
      </w:r>
    </w:p>
    <w:p>
      <w:pPr>
        <w:pStyle w:val="BodyText"/>
      </w:pPr>
      <w:r>
        <w:t xml:space="preserve">Lipka R., &amp; Siebert D. (2017). *Culturally Responsive Special Education: Identification and Services*. New York NY Routledge.</w:t>
      </w:r>
    </w:p>
    <w:p>
      <w:pPr>
        <w:pStyle w:val="BodyText"/>
      </w:pPr>
      <w:r>
        <w:t xml:space="preserve">Vice-Chancellors Committee Australia. (2022). *Report on the State of Secondary Education in Victoria*. Melbourne VIC Victorian Department of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Pedagogical Innovation and Cultural Responsiveness: A Framework for Secondary Education in Australia Melbourne</dc:title>
  <dc:creator/>
  <dc:language>en</dc:language>
  <cp:keywords/>
  <dcterms:created xsi:type="dcterms:W3CDTF">2026-07-29T07:00:28Z</dcterms:created>
  <dcterms:modified xsi:type="dcterms:W3CDTF">2026-07-29T07:00:28Z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