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Navigating</w:t>
      </w:r>
      <w:r>
        <w:t xml:space="preserve"> </w:t>
      </w:r>
      <w:r>
        <w:t xml:space="preserve">the</w:t>
      </w:r>
      <w:r>
        <w:t xml:space="preserve"> </w:t>
      </w:r>
      <w:r>
        <w:t xml:space="preserve">Landscape</w:t>
      </w:r>
      <w:r>
        <w:t xml:space="preserve"> </w:t>
      </w:r>
      <w:r>
        <w:t xml:space="preserve">of</w:t>
      </w:r>
      <w:r>
        <w:t xml:space="preserve"> </w:t>
      </w:r>
      <w:r>
        <w:t xml:space="preserve">Secondary</w:t>
      </w:r>
      <w:r>
        <w:t xml:space="preserve"> </w:t>
      </w:r>
      <w:r>
        <w:t xml:space="preserve">Teacher</w:t>
      </w:r>
      <w:r>
        <w:t xml:space="preserve"> </w:t>
      </w:r>
      <w:r>
        <w:t xml:space="preserve">Education</w:t>
      </w:r>
      <w:r>
        <w:t xml:space="preserve"> </w:t>
      </w:r>
      <w:r>
        <w:t xml:space="preserve">in</w:t>
      </w:r>
      <w:r>
        <w:t xml:space="preserve"> </w:t>
      </w:r>
      <w:r>
        <w:t xml:space="preserve">Australia,</w:t>
      </w:r>
      <w:r>
        <w:t xml:space="preserve"> </w:t>
      </w:r>
      <w:r>
        <w:t xml:space="preserve">Sydney</w:t>
      </w:r>
    </w:p>
    <w:bookmarkStart w:id="29" w:name="X8293d064b52e54e6f2e3fdd552dfa810288bf4f"/>
    <w:p>
      <w:pPr>
        <w:pStyle w:val="Heading1"/>
      </w:pPr>
      <w:r>
        <w:t xml:space="preserve">Navigating the Landscape of Secondary Teacher Education in Australia, Sydney</w:t>
      </w:r>
    </w:p>
    <w:p>
      <w:pPr>
        <w:pStyle w:val="FirstParagraph"/>
      </w:pPr>
      <w:r>
        <w:rPr>
          <w:bCs/>
          <w:b/>
        </w:rPr>
        <w:t xml:space="preserve">Author:</w:t>
      </w:r>
      <w:r>
        <w:t xml:space="preserve"> </w:t>
      </w:r>
      <w:r>
        <w:t xml:space="preserve">Dr. Eleanor Vance</w:t>
      </w:r>
      <w:r>
        <w:br/>
      </w:r>
      <w:r>
        <w:rPr>
          <w:bCs/>
          <w:b/>
        </w:rPr>
        <w:t xml:space="preserve">Institution:</w:t>
      </w:r>
      <w:r>
        <w:t xml:space="preserve"> </w:t>
      </w:r>
      <w:r>
        <w:t xml:space="preserve">Institute for Educational Excellence, Sydney</w:t>
      </w:r>
      <w:r>
        <w:br/>
      </w:r>
      <w:r>
        <w:rPr>
          <w:bCs/>
          <w:b/>
        </w:rPr>
        <w:t xml:space="preserve">Date:</w:t>
      </w:r>
      <w:r>
        <w:t xml:space="preserve"> </w:t>
      </w:r>
      <w:r>
        <w:t xml:space="preserve">October 2023</w:t>
      </w:r>
    </w:p>
    <w:bookmarkStart w:id="20" w:name="abstract"/>
    <w:p>
      <w:pPr>
        <w:pStyle w:val="Heading2"/>
      </w:pPr>
      <w:r>
        <w:t xml:space="preserve">Abstract</w:t>
      </w:r>
    </w:p>
    <w:p>
      <w:pPr>
        <w:pStyle w:val="FirstParagraph"/>
      </w:pPr>
      <w:r>
        <w:t xml:space="preserve">This conference paper explores the evolving role, challenges, and pedagogical frameworks of the secondary teacher within the specific socio-educational context of Australia, Sydney. As urban centers become increasingly diverse hubs of learning, the mandate for a secondary teacher extends beyond subject mastery to include cultural competency, digital fluency, and pastoral care. This study analyzes current trends in Sydney’s high schools, highlighting the unique demands placed on educators who must navigate a multicultural student body while adhering to national standards set by the Australian Institute for Teaching and School Leadership (AITSL). The paper argues that effective secondary teacher preparation in Sydney requires a robust integration of indigenous perspectives, mental health awareness, and adaptive pedagogical strategies.</w:t>
      </w:r>
    </w:p>
    <w:bookmarkEnd w:id="20"/>
    <w:bookmarkStart w:id="21" w:name="introduction"/>
    <w:p>
      <w:pPr>
        <w:pStyle w:val="Heading2"/>
      </w:pPr>
      <w:r>
        <w:t xml:space="preserve">1. Introduction</w:t>
      </w:r>
    </w:p>
    <w:p>
      <w:pPr>
        <w:pStyle w:val="FirstParagraph"/>
      </w:pPr>
      <w:r>
        <w:t xml:space="preserve">The landscape of secondary education in Australia is undergoing a profound transformation. Nowhere is this more evident than in Sydney, the largest and most culturally diverse city in Australia. For the secondary teacher operating within this metropolitan hub, the classroom is not merely a space for academic instruction but a microcosm of global society. The modern Australian classroom, particularly in Sydney’s suburbs ranging from Western Sydney to the Northern Beaches, presents a complex array of linguistic, socioeconomic, and cultural dynamics.</w:t>
      </w:r>
    </w:p>
    <w:p>
      <w:pPr>
        <w:pStyle w:val="BodyText"/>
      </w:pPr>
      <w:r>
        <w:t xml:space="preserve">Traditionally viewed as specialists in their respective disciplines—be it mathematics, history, or science—the role of the secondary teacher has expanded significantly. Today’s educators are expected to be facilitators of critical thinking, mentors for social-emotional learning, and bridges between home communities and the school system. This paper aims to dissect these multifaceted responsibilities and propose a framework for professional development that supports teachers in this dynamic environment.</w:t>
      </w:r>
    </w:p>
    <w:bookmarkEnd w:id="21"/>
    <w:bookmarkStart w:id="22" w:name="X4da2d6455202e7f9e3690807f53f078ef125764"/>
    <w:p>
      <w:pPr>
        <w:pStyle w:val="Heading2"/>
      </w:pPr>
      <w:r>
        <w:t xml:space="preserve">2. The Sydney Context: Diversity as a Pedagogical Asset</w:t>
      </w:r>
    </w:p>
    <w:p>
      <w:pPr>
        <w:pStyle w:val="FirstParagraph"/>
      </w:pPr>
      <w:r>
        <w:t xml:space="preserve">Sydney is characterized by its remarkable demographic diversity. According to recent census data, a significant proportion of Sydney’s population was born overseas or has at least one parent born overseas. For the secondary teacher, this translates into classrooms where English may be a second language (EAL/D) for many students. The challenge and opportunity lie in leveraging this diversity as an educational asset rather than viewing it solely as a hurdle.</w:t>
      </w:r>
    </w:p>
    <w:p>
      <w:pPr>
        <w:pStyle w:val="BodyText"/>
      </w:pPr>
      <w:r>
        <w:t xml:space="preserve">In Sydney, the secondary teacher must employ inclusive pedagogies that validate multiple cultural narratives. This is particularly relevant when teaching humanities and social sciences. For instance, when discussing historical events or contemporary social issues, the secondary teacher must ensure that perspectives from Indigenous Australians (Aboriginal and Torres Strait Islander peoples) are not tokenistic but integrated meaningfully into the curriculum. The Australian Curriculum explicitly mandates the inclusion of Aboriginal and Torres Strait Islander histories and cultures, a requirement that places a specific imperative on teachers in Sydney to engage with local Indigenous knowledge systems.</w:t>
      </w:r>
    </w:p>
    <w:bookmarkEnd w:id="22"/>
    <w:bookmarkStart w:id="23" w:name="X88451c29e7cc65240d00eb1619411b2fa4cad48"/>
    <w:p>
      <w:pPr>
        <w:pStyle w:val="Heading2"/>
      </w:pPr>
      <w:r>
        <w:t xml:space="preserve">3. Mental Health and Wellbeing: The Hidden Curriculum</w:t>
      </w:r>
    </w:p>
    <w:p>
      <w:pPr>
        <w:pStyle w:val="FirstParagraph"/>
      </w:pPr>
      <w:r>
        <w:t xml:space="preserve">A critical aspect of the contemporary secondary teacher’s role in Australia, particularly in high-pressure urban environments like Sydney, is the provision of student wellbeing support. Australian adolescents face unique stressors related to academic competition, social media pressure, and future career anxieties. In Sydney’s competitive educational landscape, where tertiary entrance scores (ATAR) are heavily emphasized by many institutions and families, the psychological burden on students can be significant.</w:t>
      </w:r>
    </w:p>
    <w:p>
      <w:pPr>
        <w:pStyle w:val="BodyText"/>
      </w:pPr>
      <w:r>
        <w:t xml:space="preserve">The secondary teacher often serves as the first line of defense in identifying signs of distress. Consequently, professional development for teachers in Sydney increasingly focuses on mental health literacy. Teachers are trained to recognize early warning signs of anxiety and depression and to refer students appropriately to school counselors or external support services. This shift reflects a broader understanding that academic achievement is inextricably linked to emotional safety and stability.</w:t>
      </w:r>
    </w:p>
    <w:bookmarkEnd w:id="23"/>
    <w:bookmarkStart w:id="24" w:name="Xa19b4281ff8c49fb93d46bebc83357321e6aee5"/>
    <w:p>
      <w:pPr>
        <w:pStyle w:val="Heading2"/>
      </w:pPr>
      <w:r>
        <w:t xml:space="preserve">4. Digital Fluency and the Future of Learning</w:t>
      </w:r>
    </w:p>
    <w:p>
      <w:pPr>
        <w:pStyle w:val="FirstParagraph"/>
      </w:pPr>
      <w:r>
        <w:t xml:space="preserve">The integration of technology in education has accelerated rapidly, a trend cemented by recent global events. For the secondary teacher in Australia, digital fluency is no longer optional; it is a core professional standard. In Sydney’s schools, this involves navigating learning management systems (LMS), utilizing interactive whiteboards, and integrating artificial intelligence tools ethically into assessment practices.</w:t>
      </w:r>
    </w:p>
    <w:p>
      <w:pPr>
        <w:pStyle w:val="BodyText"/>
      </w:pPr>
      <w:r>
        <w:t xml:space="preserve">However, the role of the teacher in a digitized classroom is not to be replaced by technology but to curate it effectively. The secondary teacher must guide students in evaluating digital information critically, understanding digital citizenship, and using technology for collaborative problem-solving. In Sydney, where access to high-speed internet and devices is relatively high compared to rural Australia, the focus shifts from access equity to quality of engagement and pedagogical innovation.</w:t>
      </w:r>
    </w:p>
    <w:bookmarkEnd w:id="24"/>
    <w:bookmarkStart w:id="25" w:name="X8f6ccf9b90eb78c35a27c4a29a7ff59c9cb7009"/>
    <w:p>
      <w:pPr>
        <w:pStyle w:val="Heading2"/>
      </w:pPr>
      <w:r>
        <w:t xml:space="preserve">5. Professional Standards and Regulatory Frameworks</w:t>
      </w:r>
    </w:p>
    <w:p>
      <w:pPr>
        <w:pStyle w:val="FirstParagraph"/>
      </w:pPr>
      <w:r>
        <w:t xml:space="preserve">All secondary teachers in Australia must meet the standards set by AITSL. These standards provide a clear framework for career progression, ranging from Graduate Teacher to Highly Accomplished Teacher. In Sydney, where the teaching profession is highly regulated and competitive, understanding these benchmarks is crucial for professional growth.</w:t>
      </w:r>
    </w:p>
    <w:p>
      <w:pPr>
        <w:pStyle w:val="BodyText"/>
      </w:pPr>
      <w:r>
        <w:t xml:space="preserve">The Australian Professional Standards for Teachers emphasize four key areas: Professional Knowledge, Professional Practice, and Professional Engagement. For teachers in Sydney’s secondary schools, this means a commitment to lifelong learning. Schools across Sydney are increasingly partnering with universities to provide ongoing training modules that address specific local needs, such as teaching students with disabilities or managing large class sizes.</w:t>
      </w:r>
    </w:p>
    <w:bookmarkEnd w:id="25"/>
    <w:bookmarkStart w:id="26" w:name="challenges-and-recommendations"/>
    <w:p>
      <w:pPr>
        <w:pStyle w:val="Heading2"/>
      </w:pPr>
      <w:r>
        <w:t xml:space="preserve">6. Challenges and Recommendations</w:t>
      </w:r>
    </w:p>
    <w:p>
      <w:pPr>
        <w:pStyle w:val="FirstParagraph"/>
      </w:pPr>
      <w:r>
        <w:t xml:space="preserve">Despite the robust framework supporting education in Australia, secondary teachers in Sydney face significant challenges. Workload pressures, administrative burdens, and the need for continuous adaptation to new curricula can lead to burnout. To address these issues, several recommendations are proposed:</w:t>
      </w:r>
    </w:p>
    <w:p>
      <w:pPr>
        <w:numPr>
          <w:ilvl w:val="0"/>
          <w:numId w:val="1001"/>
        </w:numPr>
        <w:pStyle w:val="Compact"/>
      </w:pPr>
      <w:r>
        <w:rPr>
          <w:bCs/>
          <w:b/>
        </w:rPr>
        <w:t xml:space="preserve">Enhanced Induction Programs:</w:t>
      </w:r>
      <w:r>
        <w:t xml:space="preserve"> </w:t>
      </w:r>
      <w:r>
        <w:t xml:space="preserve">New secondary teachers should receive extended mentorship programs tailored to the specific cultural context of Sydney.</w:t>
      </w:r>
    </w:p>
    <w:p>
      <w:pPr>
        <w:numPr>
          <w:ilvl w:val="0"/>
          <w:numId w:val="1001"/>
        </w:numPr>
        <w:pStyle w:val="Compact"/>
      </w:pPr>
      <w:r>
        <w:rPr>
          <w:bCs/>
          <w:b/>
        </w:rPr>
        <w:t xml:space="preserve">Mental Health Support for Educators:</w:t>
      </w:r>
    </w:p>
    <w:p>
      <w:pPr>
        <w:numPr>
          <w:ilvl w:val="0"/>
          <w:numId w:val="1001"/>
        </w:numPr>
        <w:pStyle w:val="Compact"/>
      </w:pPr>
      <w:r>
        <w:rPr>
          <w:bCs/>
          <w:b/>
        </w:rPr>
        <w:t xml:space="preserve">Cultural Competency Training:</w:t>
      </w:r>
      <w:r>
        <w:t xml:space="preserve"> </w:t>
      </w:r>
      <w:r>
        <w:t xml:space="preserve">Continuous professional development should focus on deepening teachers’ understanding of multicultural education and Indigenous pedagogies.</w:t>
      </w:r>
    </w:p>
    <w:bookmarkEnd w:id="26"/>
    <w:bookmarkStart w:id="27" w:name="conclusion"/>
    <w:p>
      <w:pPr>
        <w:pStyle w:val="Heading2"/>
      </w:pPr>
      <w:r>
        <w:t xml:space="preserve">7. Conclusion</w:t>
      </w:r>
    </w:p>
    <w:p>
      <w:pPr>
        <w:pStyle w:val="FirstParagraph"/>
      </w:pPr>
      <w:r>
        <w:t xml:space="preserve">The secondary teacher in Australia, Sydney, stands at the forefront of educational innovation and social cohesion. Their role is complex, demanding a blend of subject expertise, cultural sensitivity, psychological insight, and technological proficiency. As Sydney continues to grow and diversify, the capacity of its teachers to adapt will determine the quality of education provided to future generations.</w:t>
      </w:r>
    </w:p>
    <w:p>
      <w:pPr>
        <w:pStyle w:val="BodyText"/>
      </w:pPr>
      <w:r>
        <w:t xml:space="preserve">Supporting these educators through targeted professional development, adequate resources, and a supportive institutional culture is not just an educational imperative but a societal one. By investing in the secondary teacher, we invest in the stability and prosperity of Australia’s largest city. Future research should focus on longitudinal studies of teacher retention in Sydney and the impact of specific pedagogical interventions on diverse student outcomes.</w:t>
      </w:r>
    </w:p>
    <w:bookmarkEnd w:id="27"/>
    <w:bookmarkStart w:id="28" w:name="references"/>
    <w:p>
      <w:pPr>
        <w:pStyle w:val="Heading2"/>
      </w:pPr>
      <w:r>
        <w:t xml:space="preserve">8. References</w:t>
      </w:r>
    </w:p>
    <w:p>
      <w:pPr>
        <w:pStyle w:val="FirstParagraph"/>
      </w:pPr>
      <w:r>
        <w:rPr>
          <w:iCs/>
          <w:i/>
        </w:rPr>
        <w:t xml:space="preserve">Note: The following references are illustrative for this conference paper format.</w:t>
      </w:r>
    </w:p>
    <w:p>
      <w:pPr>
        <w:numPr>
          <w:ilvl w:val="0"/>
          <w:numId w:val="1002"/>
        </w:numPr>
        <w:pStyle w:val="Compact"/>
      </w:pPr>
      <w:r>
        <w:t xml:space="preserve">Australian Institute for Teaching and School Leadership (AITSL). (2011).</w:t>
      </w:r>
      <w:r>
        <w:t xml:space="preserve"> </w:t>
      </w:r>
      <w:r>
        <w:rPr>
          <w:bCs/>
          <w:b/>
        </w:rPr>
        <w:t xml:space="preserve">Australian Professional Standards for Teachers</w:t>
      </w:r>
      <w:r>
        <w:t xml:space="preserve">. Melbourne: AITSL.</w:t>
      </w:r>
    </w:p>
    <w:p>
      <w:pPr>
        <w:numPr>
          <w:ilvl w:val="0"/>
          <w:numId w:val="1002"/>
        </w:numPr>
        <w:pStyle w:val="Compact"/>
      </w:pPr>
      <w:r>
        <w:t xml:space="preserve">Bates, R. (2020).</w:t>
      </w:r>
      <w:r>
        <w:t xml:space="preserve"> </w:t>
      </w:r>
      <w:r>
        <w:rPr>
          <w:bCs/>
          <w:b/>
        </w:rPr>
        <w:t xml:space="preserve">Diversity in the Australian Classroom</w:t>
      </w:r>
      <w:r>
        <w:t xml:space="preserve">. Sydney: University of New South Wales Press.</w:t>
      </w:r>
    </w:p>
    <w:p>
      <w:pPr>
        <w:numPr>
          <w:ilvl w:val="0"/>
          <w:numId w:val="1002"/>
        </w:numPr>
        <w:pStyle w:val="Compact"/>
      </w:pPr>
      <w:r>
        <w:t xml:space="preserve">Gillies, R. M., &amp; Nicholson, L. Y. (2019). "Collaborative Learning: A Review of Evidence on Group Interactions and Outcomes."</w:t>
      </w:r>
      <w:r>
        <w:t xml:space="preserve"> </w:t>
      </w:r>
      <w:r>
        <w:rPr>
          <w:iCs/>
          <w:i/>
        </w:rPr>
        <w:t xml:space="preserve">International Journal of Educational Research</w:t>
      </w:r>
      <w:r>
        <w:t xml:space="preserve">, 93, 56-67.</w:t>
      </w:r>
    </w:p>
    <w:p>
      <w:pPr>
        <w:numPr>
          <w:ilvl w:val="0"/>
          <w:numId w:val="1002"/>
        </w:numPr>
        <w:pStyle w:val="Compact"/>
      </w:pPr>
      <w:r>
        <w:t xml:space="preserve">New South Wales Department of Education. (2023).</w:t>
      </w:r>
      <w:r>
        <w:t xml:space="preserve"> </w:t>
      </w:r>
      <w:r>
        <w:rPr>
          <w:bCs/>
          <w:b/>
        </w:rPr>
        <w:t xml:space="preserve">School Policy and Advisory Guide: Indigenous Education</w:t>
      </w:r>
      <w:r>
        <w:t xml:space="preserve">. Sydney: NSW Government.</w:t>
      </w:r>
    </w:p>
    <w:p>
      <w:pPr>
        <w:numPr>
          <w:ilvl w:val="0"/>
          <w:numId w:val="1002"/>
        </w:numPr>
        <w:pStyle w:val="Compact"/>
      </w:pPr>
      <w:r>
        <w:t xml:space="preserve">Taylor, P., &amp; Greenfield, D. (2018). "The Role of the Secondary Teacher in Student Wellbeing."</w:t>
      </w:r>
      <w:r>
        <w:t xml:space="preserve"> </w:t>
      </w:r>
      <w:r>
        <w:rPr>
          <w:iCs/>
          <w:i/>
        </w:rPr>
        <w:t xml:space="preserve">Australian Journal of Teacher Education</w:t>
      </w:r>
      <w:r>
        <w:t xml:space="preserve">, 43(5), 1-15.</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Navigating the Landscape of Secondary Teacher Education in Australia, Sydney</dc:title>
  <dc:creator/>
  <cp:keywords/>
  <dcterms:created xsi:type="dcterms:W3CDTF">2026-07-29T12:08:37Z</dcterms:created>
  <dcterms:modified xsi:type="dcterms:W3CDTF">2026-07-29T12:08:37Z</dcterms:modified>
</cp:coreProperties>
</file>

<file path=docProps/custom.xml><?xml version="1.0" encoding="utf-8"?>
<Properties xmlns="http://schemas.openxmlformats.org/officeDocument/2006/custom-properties" xmlns:vt="http://schemas.openxmlformats.org/officeDocument/2006/docPropsVTypes"/>
</file>