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Educational</w:t>
      </w:r>
      <w:r>
        <w:t xml:space="preserve"> </w:t>
      </w:r>
      <w:r>
        <w:t xml:space="preserve">Challenges</w:t>
      </w:r>
      <w:r>
        <w:t xml:space="preserve"> </w:t>
      </w:r>
      <w:r>
        <w:t xml:space="preserve">and</w:t>
      </w:r>
      <w:r>
        <w:t xml:space="preserve"> </w:t>
      </w:r>
      <w:r>
        <w:t xml:space="preserve">Opportunities</w:t>
      </w:r>
    </w:p>
    <w:bookmarkStart w:id="20" w:name="X08ce6bebc431ffd0990dffa45b7320abb8fd2de"/>
    <w:p>
      <w:pPr>
        <w:pStyle w:val="Heading1"/>
      </w:pPr>
      <w:r>
        <w:t xml:space="preserve">The Evolving Role of the Teacher Secondary in Colombia Medellín</w:t>
      </w:r>
    </w:p>
    <w:p>
      <w:pPr>
        <w:pStyle w:val="FirstParagraph"/>
      </w:pPr>
      <w:r>
        <w:rPr>
          <w:bCs/>
          <w:b/>
        </w:rPr>
        <w:t xml:space="preserve">A Conference Paper Submitted for the International Symposium on Educational Innovation in Latin America</w:t>
      </w:r>
    </w:p>
    <w:p>
      <w:pPr>
        <w:pStyle w:val="BodyText"/>
      </w:pPr>
      <w:r>
        <w:rPr>
          <w:iCs/>
          <w:i/>
        </w:rPr>
        <w:t xml:space="preserve">Bogotá and Medellín, Colombia</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paper explores the critical transformation of the role of the Teacher Secondary within the specific socio-educational context of Colombia Medellín. As Medellín transitions from a history marked by conflict to a hub of urban innovation and cultural renaissance, its educational institutions face unique challenges and opportunities. This study analyzes how secondary educators are adapting their pedagogical strategies to meet the demands of national curricula while addressing local realities such as social inequality, technological integration, and psychosocial support. By examining case studies from public schools in Comuna 13 and central Medellín, this paper argues that the modern Teacher Secondary is no longer merely a transmitter of knowledge but a pivotal agent of social cohesion and community development. The findings suggest that professional development programs must be localized to effectively support these educators in their multifaceted roles.</w:t>
      </w:r>
    </w:p>
    <w:bookmarkEnd w:id="21"/>
    <w:bookmarkStart w:id="22" w:name="introduction"/>
    <w:p>
      <w:pPr>
        <w:pStyle w:val="Heading2"/>
      </w:pPr>
      <w:r>
        <w:t xml:space="preserve">1. Introduction</w:t>
      </w:r>
    </w:p>
    <w:p>
      <w:pPr>
        <w:pStyle w:val="FirstParagraph"/>
      </w:pPr>
      <w:r>
        <w:t xml:space="preserve">The educational landscape of Colombia has undergone significant reforms over the past two decades, driven by national policies aimed at improving quality and equity. However, the implementation of these policies varies drastically depending on geographic and socio-economic contexts. Nowhere is this variation more pronounced than in Medellín, a city that serves as a global model for urban transformation yet continues to grapple with deep-seated structural inequalities.</w:t>
      </w:r>
    </w:p>
    <w:p>
      <w:pPr>
        <w:pStyle w:val="BodyText"/>
      </w:pPr>
      <w:r>
        <w:t xml:space="preserve">In this complex environment, the Teacher Secondary plays an indispensable role. Unlike their primary counterparts, secondary teachers in Colombia typically specialize in specific disciplines while also assuming responsibilities for student counseling and community engagement. In Medellín, where the gap between affluent neighborhoods and peripheral comunas remains stark, the Teacher Secondary often becomes a bridge between formal education and informal survival strategies employed by students from vulnerable backgrounds.</w:t>
      </w:r>
    </w:p>
    <w:p>
      <w:pPr>
        <w:pStyle w:val="BodyText"/>
      </w:pPr>
      <w:r>
        <w:t xml:space="preserve">This paper aims to articulate the current challenges faced by secondary educators in Medellín, highlight innovative pedagogical approaches emerging from local institutions, and propose recommendations for policy makers and educational leaders. By focusing on Colombia Medellín as a distinct case study, we seek to contribute to the broader discourse on urban education in developing economies.</w:t>
      </w:r>
    </w:p>
    <w:bookmarkEnd w:id="22"/>
    <w:bookmarkStart w:id="26" w:name="context"/>
    <w:bookmarkStart w:id="25" w:name="X14b1c9bf02e4e30b7b902282cbd3c7a53ba3622"/>
    <w:p>
      <w:pPr>
        <w:pStyle w:val="Heading2"/>
      </w:pPr>
      <w:r>
        <w:t xml:space="preserve">2. The Context of Education in Colombia Medellín</w:t>
      </w:r>
    </w:p>
    <w:p>
      <w:pPr>
        <w:pStyle w:val="FirstParagraph"/>
      </w:pPr>
      <w:r>
        <w:t xml:space="preserve">To understand the role of the Teacher Secondary, one must first comprehend the unique dynamics of Medellín. Once infamous for violence and drug trafficking, the city has invested heavily in "social urbanism," constructing libraries in parks, cable cars for transportation to steep hillsides comunas, and modern public spaces.</w:t>
      </w:r>
    </w:p>
    <w:bookmarkStart w:id="23" w:name="socio-economic-disparities"/>
    <w:p>
      <w:pPr>
        <w:pStyle w:val="Heading3"/>
      </w:pPr>
      <w:r>
        <w:t xml:space="preserve">2.1 Socio-Economic Disparities</w:t>
      </w:r>
    </w:p>
    <w:p>
      <w:pPr>
        <w:pStyle w:val="FirstParagraph"/>
      </w:pPr>
      <w:r>
        <w:t xml:space="preserve">Despite these infrastructural improvements, the socio-economic divide persists. In neighborhoods such as Comuna 13 or Ciudad Jardín, schools serve populations that have experienced intergenerational trauma and economic marginalization. The Teacher Secondary in these areas must often act not only as an instructor of mathematics or language arts but also as a counselor, mentor, and sometimes a social worker.</w:t>
      </w:r>
    </w:p>
    <w:bookmarkEnd w:id="23"/>
    <w:bookmarkStart w:id="24" w:name="technological-integration"/>
    <w:p>
      <w:pPr>
        <w:pStyle w:val="Heading3"/>
      </w:pPr>
      <w:r>
        <w:t xml:space="preserve">2.2 Technological Integration</w:t>
      </w:r>
    </w:p>
    <w:p>
      <w:pPr>
        <w:pStyle w:val="FirstParagraph"/>
      </w:pPr>
      <w:r>
        <w:t xml:space="preserve">The city has made strides in digital connectivity, with initiatives like "Medellín Digital" aiming to provide internet access to all citizens. However, the digital divide remains within schools themselves. Teacher Secondary educators are tasked with integrating technology into their curricula despite varying levels of hardware availability and student home support. This requires a high degree of adaptability and continuous professional learning.</w:t>
      </w:r>
    </w:p>
    <w:bookmarkEnd w:id="24"/>
    <w:bookmarkEnd w:id="25"/>
    <w:bookmarkEnd w:id="26"/>
    <w:bookmarkStart w:id="28" w:name="role"/>
    <w:bookmarkStart w:id="27" w:name="redefining-the-teacher-secondary"/>
    <w:p>
      <w:pPr>
        <w:pStyle w:val="Heading2"/>
      </w:pPr>
      <w:r>
        <w:t xml:space="preserve">3. Redefining the Teacher Secondary</w:t>
      </w:r>
    </w:p>
    <w:p>
      <w:pPr>
        <w:pStyle w:val="FirstParagraph"/>
      </w:pPr>
      <w:r>
        <w:t xml:space="preserve">The traditional definition of a teacher as a solitary expert delivering content to passive students is obsolete in contemporary Medellín. Recent observations from secondary classrooms indicate three primary shifts in the role of the Teacher Secondary:</w:t>
      </w:r>
    </w:p>
    <w:p>
      <w:pPr>
        <w:numPr>
          <w:ilvl w:val="0"/>
          <w:numId w:val="1001"/>
        </w:numPr>
        <w:pStyle w:val="Compact"/>
      </w:pPr>
      <w:r>
        <w:rPr>
          <w:bCs/>
          <w:b/>
        </w:rPr>
        <w:t xml:space="preserve">The Pedagogical Innovator:</w:t>
      </w:r>
      <w:r>
        <w:t xml:space="preserve"> </w:t>
      </w:r>
      <w:r>
        <w:t xml:space="preserve">Facing diverse learning speeds and backgrounds, teachers are adopting differentiated instruction methods. Project-based learning (PBL) has gained traction, allowing students to apply academic concepts to real-world problems in their communities. For instance, biology classes might focus on the local restoration of the Aburrá Valley rivers.</w:t>
      </w:r>
    </w:p>
    <w:p>
      <w:pPr>
        <w:numPr>
          <w:ilvl w:val="0"/>
          <w:numId w:val="1001"/>
        </w:numPr>
        <w:pStyle w:val="Compact"/>
      </w:pPr>
      <w:r>
        <w:rPr>
          <w:bCs/>
          <w:b/>
        </w:rPr>
        <w:t xml:space="preserve">The Psychosocial Supporter:</w:t>
      </w:r>
      <w:r>
        <w:t xml:space="preserve"> </w:t>
      </w:r>
      <w:r>
        <w:t xml:space="preserve">Mental health awareness has grown significantly in Colombian schools. Teacher Secondary are increasingly trained in identifying signs of anxiety, depression, or exposure to community violence. They collaborate with school psychologists and social workers to create safe learning environments. This emotional labor is often unquantified but essential for student retention.</w:t>
      </w:r>
    </w:p>
    <w:p>
      <w:pPr>
        <w:numPr>
          <w:ilvl w:val="0"/>
          <w:numId w:val="1001"/>
        </w:numPr>
        <w:pStyle w:val="Compact"/>
      </w:pPr>
      <w:r>
        <w:rPr>
          <w:bCs/>
          <w:b/>
        </w:rPr>
        <w:t xml:space="preserve">The Community Connector:</w:t>
      </w:r>
      <w:r>
        <w:t xml:space="preserve"> </w:t>
      </w:r>
      <w:r>
        <w:t xml:space="preserve">Schools in Medellín are increasingly seen as community hubs. Teacher Secondary facilitate parent-teacher associations and engage with local leaders to address barriers to attendance, such as transportation or safety concerns during peak hours.</w:t>
      </w:r>
    </w:p>
    <w:p>
      <w:pPr>
        <w:pStyle w:val="FirstParagraph"/>
      </w:pPr>
      <w:r>
        <w:rPr>
          <w:bCs/>
          <w:b/>
        </w:rPr>
        <w:t xml:space="preserve">Key Insight:</w:t>
      </w:r>
      <w:r>
        <w:t xml:space="preserve"> </w:t>
      </w:r>
      <w:r>
        <w:t xml:space="preserve">In Medellín, the effectiveness of a Teacher Secondary is measured not just by standardized test scores (Saber 11), but by their ability to keep students engaged in the education system despite external socio-economic pressures.</w:t>
      </w:r>
    </w:p>
    <w:bookmarkEnd w:id="27"/>
    <w:bookmarkEnd w:id="28"/>
    <w:bookmarkStart w:id="33" w:name="challenges"/>
    <w:bookmarkStart w:id="32" w:name="critical-challenges"/>
    <w:p>
      <w:pPr>
        <w:pStyle w:val="Heading2"/>
      </w:pPr>
      <w:r>
        <w:t xml:space="preserve">4. Critical Challenges</w:t>
      </w:r>
    </w:p>
    <w:bookmarkStart w:id="29" w:name="professional-development-gaps"/>
    <w:p>
      <w:pPr>
        <w:pStyle w:val="Heading3"/>
      </w:pPr>
      <w:r>
        <w:t xml:space="preserve">4.1 Professional Development Gaps</w:t>
      </w:r>
    </w:p>
    <w:p>
      <w:pPr>
        <w:pStyle w:val="FirstParagraph"/>
      </w:pPr>
      <w:r>
        <w:t xml:space="preserve">CWhile national policies mandate continuous training, local implementations in Medellín often lack specificity. General workshops on "digital tools" do not address the specific needs of a teacher in a high-violence zone who may need trauma-informed teaching strategies. There is an urgent need for contextualized professional development that respects the lived experiences of local educators.</w:t>
      </w:r>
    </w:p>
    <w:bookmarkEnd w:id="29"/>
    <w:bookmarkStart w:id="30" w:name="resource-limitations"/>
    <w:p>
      <w:pPr>
        <w:pStyle w:val="Heading3"/>
      </w:pPr>
      <w:r>
        <w:t xml:space="preserve">4.2 Resource Limitations</w:t>
      </w:r>
    </w:p>
    <w:p>
      <w:pPr>
        <w:pStyle w:val="FirstParagraph"/>
      </w:pPr>
      <w:r>
        <w:t xml:space="preserve">Public schools in Medellín often operate with limited budgets. Teacher Secondary frequently resort to personal funds to purchase supplies or pay for printing materials. While some NGOs and corporate social responsibility programs from local industry provide support, the dependency on external funding is unstable and unsustainable.</w:t>
      </w:r>
    </w:p>
    <w:bookmarkEnd w:id="30"/>
    <w:bookmarkStart w:id="31" w:name="burnout-and-retention"/>
    <w:p>
      <w:pPr>
        <w:pStyle w:val="Heading3"/>
      </w:pPr>
      <w:r>
        <w:t xml:space="preserve">4.3 Burnout and Retention</w:t>
      </w:r>
    </w:p>
    <w:p>
      <w:pPr>
        <w:pStyle w:val="FirstParagraph"/>
      </w:pPr>
      <w:r>
        <w:t xml:space="preserve">The emotional toll of working in high-stress environments leads to high rates of burnout among Teacher Secondary professionals. Many talented educators leave the profession or transfer to private institutions, exacerbating the inequity in education quality between different socioeconomic strata.</w:t>
      </w:r>
    </w:p>
    <w:bookmarkEnd w:id="31"/>
    <w:bookmarkEnd w:id="32"/>
    <w:bookmarkEnd w:id="33"/>
    <w:bookmarkStart w:id="35" w:name="recommendations"/>
    <w:bookmarkStart w:id="34" w:name="strategic-recommendations"/>
    <w:p>
      <w:pPr>
        <w:pStyle w:val="Heading2"/>
      </w:pPr>
      <w:r>
        <w:t xml:space="preserve">5. Strategic Recommendations</w:t>
      </w:r>
    </w:p>
    <w:p>
      <w:pPr>
        <w:numPr>
          <w:ilvl w:val="0"/>
          <w:numId w:val="1002"/>
        </w:numPr>
        <w:pStyle w:val="Compact"/>
      </w:pPr>
      <w:r>
        <w:rPr>
          <w:bCs/>
          <w:b/>
        </w:rPr>
        <w:t xml:space="preserve">Culturally Responsive Training:</w:t>
      </w:r>
      <w:r>
        <w:t xml:space="preserve">The Secretary of Education in Medellín should collaborate with universities to design training programs that are co-created with local teachers. These programs must integrate social-emotional learning and crisis management.</w:t>
      </w:r>
    </w:p>
    <w:p>
      <w:pPr>
        <w:numPr>
          <w:ilvl w:val="0"/>
          <w:numId w:val="1002"/>
        </w:numPr>
        <w:pStyle w:val="Compact"/>
      </w:pPr>
      <w:r>
        <w:rPr>
          <w:bCs/>
          <w:b/>
        </w:rPr>
        <w:t xml:space="preserve">Pedagogical Communities:</w:t>
      </w:r>
      <w:r>
        <w:t xml:space="preserve">Foster "Communities of Practice" where Teacher Secondary from different schools can share best practices. Peer mentoring networks can reduce isolation and provide emotional support for educators.</w:t>
      </w:r>
    </w:p>
    <w:p>
      <w:pPr>
        <w:numPr>
          <w:ilvl w:val="0"/>
          <w:numId w:val="1002"/>
        </w:numPr>
        <w:pStyle w:val="Compact"/>
      </w:pPr>
      <w:r>
        <w:rPr>
          <w:bCs/>
          <w:b/>
        </w:rPr>
        <w:t xml:space="preserve">Public-Private Partnerships:</w:t>
      </w:r>
      <w:r>
        <w:t xml:space="preserve">Leverage Medellín’s strong technology sector to create sustained partnerships with schools. Instead of one-off donations, these partnerships should focus on long-term infrastructure support and mentorship programs for teachers.</w:t>
      </w:r>
    </w:p>
    <w:p>
      <w:pPr>
        <w:numPr>
          <w:ilvl w:val="0"/>
          <w:numId w:val="1002"/>
        </w:numPr>
        <w:pStyle w:val="Compact"/>
      </w:pPr>
      <w:r>
        <w:rPr>
          <w:bCs/>
          <w:b/>
        </w:rPr>
        <w:t xml:space="preserve">Policy Recognition:</w:t>
      </w:r>
      <w:r>
        <w:t xml:space="preserve">National and local policies must formally recognize the psychosocial role of the Teacher Secondary. Compensation models and career advancement criteria should account for this expanded scope of work.</w:t>
      </w:r>
    </w:p>
    <w:bookmarkEnd w:id="34"/>
    <w:bookmarkEnd w:id="35"/>
    <w:bookmarkStart w:id="36" w:name="conclusion"/>
    <w:p>
      <w:pPr>
        <w:pStyle w:val="Heading2"/>
      </w:pPr>
      <w:r>
        <w:t xml:space="preserve">6. Conclusion</w:t>
      </w:r>
    </w:p>
    <w:p>
      <w:pPr>
        <w:pStyle w:val="FirstParagraph"/>
      </w:pPr>
      <w:r>
        <w:t xml:space="preserve">The future of education in Colombia Medellín hinges on the empowerment and support of its secondary teachers. They are the frontline defenders of social mobility and civic engagement for a generation that holds both hope and uncertainty in equal measure. By acknowledging the complex, multifaceted role of the Teacher Secondary, stakeholders can move beyond superficial reforms to create a truly inclusive and effective educational system.</w:t>
      </w:r>
    </w:p>
    <w:p>
      <w:pPr>
        <w:pStyle w:val="BodyText"/>
      </w:pPr>
      <w:r>
        <w:t xml:space="preserve">As Medellín continues its journey toward becoming a smart city, it must ensure that its human capital—the teachers—are equally advanced in their capabilities and well-being. Investing in the Teacher Secondary is not just an educational imperative; it is a civic duty essential for the sustained peace and prosperity of Colombia.</w:t>
      </w:r>
    </w:p>
    <w:bookmarkEnd w:id="36"/>
    <w:bookmarkStart w:id="37" w:name="references"/>
    <w:p>
      <w:pPr>
        <w:pStyle w:val="Heading2"/>
      </w:pPr>
      <w:r>
        <w:t xml:space="preserve">References</w:t>
      </w:r>
    </w:p>
    <w:p>
      <w:pPr>
        <w:numPr>
          <w:ilvl w:val="0"/>
          <w:numId w:val="1003"/>
        </w:numPr>
        <w:pStyle w:val="Compact"/>
      </w:pPr>
      <w:r>
        <w:t xml:space="preserve">[1] Ministerio de Educación Nacional. (2016). *Ley 115 de 1994: Ley General de Educación*. Bogotá, Colombia.</w:t>
      </w:r>
    </w:p>
    <w:p>
      <w:pPr>
        <w:numPr>
          <w:ilvl w:val="0"/>
          <w:numId w:val="1003"/>
        </w:numPr>
        <w:pStyle w:val="Compact"/>
      </w:pPr>
      <w:r>
        <w:t xml:space="preserve">[2] Alcaldía de Medellín. (2020). *Plan Municipal de Desarrollo: Medellín Humana y Sostenible*.</w:t>
      </w:r>
    </w:p>
    <w:p>
      <w:pPr>
        <w:numPr>
          <w:ilvl w:val="0"/>
          <w:numId w:val="1003"/>
        </w:numPr>
        <w:pStyle w:val="Compact"/>
      </w:pPr>
      <w:r>
        <w:t xml:space="preserve">[3] Restrepo, J. M., &amp; Vargas, L. (2019). "Urban Transformation and Educational Equity in Colombian Cities." *Journal of Latin American Urban Studies*, 15(2), 45-67.</w:t>
      </w:r>
    </w:p>
    <w:p>
      <w:pPr>
        <w:numPr>
          <w:ilvl w:val="0"/>
          <w:numId w:val="1003"/>
        </w:numPr>
        <w:pStyle w:val="Compact"/>
      </w:pPr>
      <w:r>
        <w:t xml:space="preserve">[4] OECD. (2018). *PISA 2018 Results: What Students Know and Can Do*. Paris: OECD Publishing. (Specific focus on Colombian context).</w:t>
      </w:r>
    </w:p>
    <w:p>
      <w:pPr>
        <w:numPr>
          <w:ilvl w:val="0"/>
          <w:numId w:val="1003"/>
        </w:numPr>
        <w:pStyle w:val="Compact"/>
      </w:pPr>
      <w:r>
        <w:t xml:space="preserve">[5] Community Health and Education Reports from Comuna 13, Medellín. (2021-2023).</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Colombia Medellín: Navigating Educational Challenges and Opportunities</dc:title>
  <dc:creator/>
  <dc:language>en</dc:language>
  <cp:keywords/>
  <dcterms:created xsi:type="dcterms:W3CDTF">2026-07-29T22:33:24Z</dcterms:created>
  <dcterms:modified xsi:type="dcterms:W3CDTF">2026-07-29T22:33:24Z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