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Secondary</w:t>
      </w:r>
      <w:r>
        <w:t xml:space="preserve"> </w:t>
      </w:r>
      <w:r>
        <w:t xml:space="preserve">Teacher</w:t>
      </w:r>
      <w:r>
        <w:t xml:space="preserve"> </w:t>
      </w:r>
      <w:r>
        <w:t xml:space="preserve">in</w:t>
      </w:r>
      <w:r>
        <w:t xml:space="preserve"> </w:t>
      </w:r>
      <w:r>
        <w:t xml:space="preserve">Iran:</w:t>
      </w:r>
      <w:r>
        <w:t xml:space="preserve"> </w:t>
      </w:r>
      <w:r>
        <w:t xml:space="preserve">Tehran</w:t>
      </w:r>
      <w:r>
        <w:t xml:space="preserve"> </w:t>
      </w:r>
      <w:r>
        <w:t xml:space="preserve">as</w:t>
      </w:r>
      <w:r>
        <w:t xml:space="preserve"> </w:t>
      </w:r>
      <w:r>
        <w:t xml:space="preserve">a</w:t>
      </w:r>
      <w:r>
        <w:t xml:space="preserve"> </w:t>
      </w:r>
      <w:r>
        <w:t xml:space="preserve">Case</w:t>
      </w:r>
      <w:r>
        <w:t xml:space="preserve"> </w:t>
      </w:r>
      <w:r>
        <w:t xml:space="preserve">Study</w:t>
      </w:r>
      <w:r>
        <w:t xml:space="preserve"> </w:t>
      </w:r>
      <w:r>
        <w:t xml:space="preserve">for</w:t>
      </w:r>
      <w:r>
        <w:t xml:space="preserve"> </w:t>
      </w:r>
      <w:r>
        <w:t xml:space="preserve">Educational</w:t>
      </w:r>
      <w:r>
        <w:t xml:space="preserve"> </w:t>
      </w:r>
      <w:r>
        <w:t xml:space="preserve">Modernization</w:t>
      </w:r>
    </w:p>
    <w:bookmarkStart w:id="33" w:name="X9697c24eb2b08e8509163a635941c4f95400cf9"/>
    <w:p>
      <w:pPr>
        <w:pStyle w:val="Heading1"/>
      </w:pPr>
      <w:r>
        <w:t xml:space="preserve">The Evolving Role of the Secondary Teacher in Iran:</w:t>
      </w:r>
      <w:r>
        <w:br/>
      </w:r>
      <w:r>
        <w:t xml:space="preserve">Tehran as a Case Study for Educational Modernization</w:t>
      </w:r>
    </w:p>
    <w:p>
      <w:pPr>
        <w:pStyle w:val="FirstParagraph"/>
      </w:pPr>
      <w:r>
        <w:rPr>
          <w:bCs/>
          <w:b/>
        </w:rPr>
        <w:t xml:space="preserve">Analyzed for the International Conference on Educational Development in the Middle East</w:t>
      </w:r>
    </w:p>
    <w:p>
      <w:pPr>
        <w:pStyle w:val="BodyText"/>
      </w:pPr>
      <w:r>
        <w:rPr>
          <w:iCs/>
          <w:i/>
        </w:rPr>
        <w:t xml:space="preserve">Date: October 2023 | Location: Tehran, Iran</w:t>
      </w:r>
    </w:p>
    <w:bookmarkStart w:id="20" w:name="abstract"/>
    <w:p>
      <w:pPr>
        <w:pStyle w:val="Heading2"/>
      </w:pPr>
      <w:r>
        <w:t xml:space="preserve">Abstract</w:t>
      </w:r>
    </w:p>
    <w:p>
      <w:pPr>
        <w:pStyle w:val="FirstParagraph"/>
      </w:pPr>
      <w:r>
        <w:t xml:space="preserve">This conference paper examines the critical transformation of the secondary teacher role within the Iranian educational system, with a specific focus on the capital city of Tehran. As Iran seeks to modernize its curriculum and integrate digital technologies into high school education, the traditional model of instruction is being challenged. This study argues that teachers in Tehran are not merely transmitters of knowledge but have become essential facilitators of critical thinking, cultural preservation, and technological adaptation. By analyzing current pedagogical shifts in Tehran’s secondary schools, this paper highlights the dual pressures faced by educators: adhering to national ideological frameworks while simultaneously meeting global standards for scientific and literary competence.</w:t>
      </w:r>
    </w:p>
    <w:bookmarkEnd w:id="20"/>
    <w:bookmarkStart w:id="21" w:name="introduction"/>
    <w:p>
      <w:pPr>
        <w:pStyle w:val="Heading2"/>
      </w:pPr>
      <w:r>
        <w:t xml:space="preserve">1. Introduction</w:t>
      </w:r>
    </w:p>
    <w:p>
      <w:pPr>
        <w:pStyle w:val="FirstParagraph"/>
      </w:pPr>
      <w:r>
        <w:t xml:space="preserve">The educational landscape of Iran has undergone significant shifts over the past three decades. Nowhere is this transformation more palpable than in Tehran, the nation’s political, economic, and cultural hub. As the largest city in Iran and a center for higher education institutions such as the University of Tehran and Sharif University of Technology, Tehran serves as a bellwether for national educational policies. At the heart of this system is the</w:t>
      </w:r>
      <w:r>
        <w:t xml:space="preserve"> </w:t>
      </w:r>
      <w:r>
        <w:rPr>
          <w:bCs/>
          <w:b/>
        </w:rPr>
        <w:t xml:space="preserve">secondary teacher</w:t>
      </w:r>
      <w:r>
        <w:t xml:space="preserve">, whose role has evolved from that of an authoritarian figure to a mentor who must navigate complex socio-political and technological terrains.</w:t>
      </w:r>
    </w:p>
    <w:p>
      <w:pPr>
        <w:pStyle w:val="BodyText"/>
      </w:pPr>
      <w:r>
        <w:t xml:space="preserve">In recent years, the Iranian Ministry of Education has launched various initiatives aimed at modernizing secondary education. These reforms are particularly visible in Tehran, where resources are more concentrated than in rural provinces. However, the implementation of these reforms places immense responsibility on secondary teachers. They are tasked with bridging the gap between traditional Islamic-Iranian educational values and the demands of a globalized digital economy. This paper explores how</w:t>
      </w:r>
      <w:r>
        <w:t xml:space="preserve"> </w:t>
      </w:r>
      <w:r>
        <w:rPr>
          <w:bCs/>
          <w:b/>
        </w:rPr>
        <w:t xml:space="preserve">secondary teachers</w:t>
      </w:r>
      <w:r>
        <w:t xml:space="preserve"> </w:t>
      </w:r>
      <w:r>
        <w:t xml:space="preserve">in Tehran are adapting to these challenges and what their evolving role signifies for the future of education in Iran.</w:t>
      </w:r>
    </w:p>
    <w:bookmarkEnd w:id="21"/>
    <w:bookmarkStart w:id="24" w:name="the-context-of-education-in-tehran"/>
    <w:p>
      <w:pPr>
        <w:pStyle w:val="Heading2"/>
      </w:pPr>
      <w:r>
        <w:t xml:space="preserve">2. The Context of Education in Tehran</w:t>
      </w:r>
    </w:p>
    <w:bookmarkStart w:id="22" w:name="urban-pressures-and-resource-disparity"/>
    <w:p>
      <w:pPr>
        <w:pStyle w:val="Heading3"/>
      </w:pPr>
      <w:r>
        <w:t xml:space="preserve">2.1 Urban Pressures and Resource Disparity</w:t>
      </w:r>
    </w:p>
    <w:p>
      <w:pPr>
        <w:pStyle w:val="FirstParagraph"/>
      </w:pPr>
      <w:r>
        <w:t xml:space="preserve">Tehran presents a unique microcosm of the Iranian educational experience. The city houses elite public schools, specialized technical high schools, and private institutions that cater to different socioeconomic strata. For a</w:t>
      </w:r>
      <w:r>
        <w:t xml:space="preserve"> </w:t>
      </w:r>
      <w:r>
        <w:rPr>
          <w:bCs/>
          <w:b/>
        </w:rPr>
        <w:t xml:space="preserve">secondary teacher</w:t>
      </w:r>
      <w:r>
        <w:t xml:space="preserve"> </w:t>
      </w:r>
      <w:r>
        <w:t xml:space="preserve">in Tehran, the classroom is often diverse in terms of student background but uniform in its adherence to national curriculum standards set by Tehran-based policymakers.</w:t>
      </w:r>
    </w:p>
    <w:p>
      <w:pPr>
        <w:pStyle w:val="BodyText"/>
      </w:pPr>
      <w:r>
        <w:t xml:space="preserve">The density of population and the competitive nature of university entrance exams (Konkur) create high-stress environments for both students and educators. Secondary teachers in Tehran frequently report working longer hours than their counterparts in other regions, driven by the necessity to provide supplementary instruction. This phenomenon underscores the teacher's role as not just an educator but a career counselor and psychological supporter.</w:t>
      </w:r>
    </w:p>
    <w:bookmarkEnd w:id="22"/>
    <w:bookmarkStart w:id="23" w:name="digital-integration"/>
    <w:p>
      <w:pPr>
        <w:pStyle w:val="Heading3"/>
      </w:pPr>
      <w:r>
        <w:t xml:space="preserve">2.2 Digital Integration</w:t>
      </w:r>
    </w:p>
    <w:p>
      <w:pPr>
        <w:pStyle w:val="FirstParagraph"/>
      </w:pPr>
      <w:r>
        <w:t xml:space="preserve">The acceleration of digital learning tools during and after recent global health crises has forced Tehran’s secondary schools to adopt hybrid teaching models. Teachers are now expected to be proficient in Learning Management Systems (LMS), video conferencing tools, and digital assessment platforms. This shift requires a significant upskilling of the workforce, challenging the traditional pedagogical methods that have long been favored in Iranian educational culture.</w:t>
      </w:r>
    </w:p>
    <w:bookmarkEnd w:id="23"/>
    <w:bookmarkEnd w:id="24"/>
    <w:bookmarkStart w:id="28" w:name="X64840c0a72a0905fdc37108073695da03f942ea"/>
    <w:p>
      <w:pPr>
        <w:pStyle w:val="Heading2"/>
      </w:pPr>
      <w:r>
        <w:t xml:space="preserve">3. The Multifaceted Role of the Secondary Teacher</w:t>
      </w:r>
    </w:p>
    <w:p>
      <w:pPr>
        <w:pStyle w:val="FirstParagraph"/>
      </w:pPr>
      <w:r>
        <w:t xml:space="preserve">In Tehran’s secondary schools, the role of the teacher is multifaceted, encompassing academic instruction, ideological guidance, and social facilitation.</w:t>
      </w:r>
    </w:p>
    <w:bookmarkStart w:id="25" w:name="Xfaf9ac3c828668616f064a78f99cc481475eda7"/>
    <w:p>
      <w:pPr>
        <w:pStyle w:val="Heading3"/>
      </w:pPr>
      <w:r>
        <w:t xml:space="preserve">3.1 Custodians of Cultural and Ideological Values</w:t>
      </w:r>
    </w:p>
    <w:p>
      <w:pPr>
        <w:pStyle w:val="FirstParagraph"/>
      </w:pPr>
      <w:r>
        <w:t xml:space="preserve">Iranian education policy mandates that teachers serve as custodians of national identity and Islamic values. Secondary teachers in Tehran are required to integrate these ideological components into subjects ranging from literature to science. This creates a delicate balancing act where educators must foster critical thinking within secondary students while ensuring compliance with state-mandated curricular guidelines. The teacher becomes a mediator between local tradition and global modernity.</w:t>
      </w:r>
    </w:p>
    <w:bookmarkEnd w:id="25"/>
    <w:bookmarkStart w:id="26" w:name="facilitators-of-critical-thinking"/>
    <w:p>
      <w:pPr>
        <w:pStyle w:val="Heading3"/>
      </w:pPr>
      <w:r>
        <w:t xml:space="preserve">3.2 Facilitators of Critical Thinking</w:t>
      </w:r>
    </w:p>
    <w:p>
      <w:pPr>
        <w:pStyle w:val="FirstParagraph"/>
      </w:pPr>
      <w:r>
        <w:t xml:space="preserve">Despite ideological constraints, there is a growing demand among Tehran’s youth for analytical skills that transcend rote memorization. Progressive secondary teachers in the city are increasingly adopting student-centered learning approaches. They encourage debate and inquiry, particularly in humanities and social sciences classes. This shift is crucial for preparing students for higher education at prestigious universities in Tehran, where independent research and critical analysis are paramount.</w:t>
      </w:r>
    </w:p>
    <w:bookmarkEnd w:id="26"/>
    <w:bookmarkStart w:id="27" w:name="technological-mediators"/>
    <w:p>
      <w:pPr>
        <w:pStyle w:val="Heading3"/>
      </w:pPr>
      <w:r>
        <w:t xml:space="preserve">3.3 Technological Mediators</w:t>
      </w:r>
    </w:p>
    <w:p>
      <w:pPr>
        <w:pStyle w:val="FirstParagraph"/>
      </w:pPr>
      <w:r>
        <w:t xml:space="preserve">The role of the secondary teacher as a technological mediator is perhaps the most rapidly evolving aspect of their profession in Tehran. With internet access restrictions and sanctions impacting software availability, teachers must often find innovative workarounds to provide students with access to global knowledge resources. This requires resilience, technical ingenuity, and a deep understanding of how to leverage locally available digital tools effectively.</w:t>
      </w:r>
    </w:p>
    <w:bookmarkEnd w:id="27"/>
    <w:bookmarkEnd w:id="28"/>
    <w:bookmarkStart w:id="29" w:name="Xcf08fd40d106d2c725bd2a6c5d5113eb2e9346a"/>
    <w:p>
      <w:pPr>
        <w:pStyle w:val="Heading2"/>
      </w:pPr>
      <w:r>
        <w:t xml:space="preserve">4. Challenges Facing Secondary Teachers in Tehran</w:t>
      </w:r>
    </w:p>
    <w:p>
      <w:pPr>
        <w:pStyle w:val="FirstParagraph"/>
      </w:pPr>
      <w:r>
        <w:t xml:space="preserve">The transition toward modern educational paradigms is not without significant hurdles. Secondary teachers in Tehran face several structural and systemic challenges that impede their effectiveness.</w:t>
      </w:r>
    </w:p>
    <w:p>
      <w:pPr>
        <w:numPr>
          <w:ilvl w:val="0"/>
          <w:numId w:val="1001"/>
        </w:numPr>
        <w:pStyle w:val="Compact"/>
      </w:pPr>
      <w:r>
        <w:rPr>
          <w:bCs/>
          <w:b/>
        </w:rPr>
        <w:t xml:space="preserve">Salary and Job Security:</w:t>
      </w:r>
      <w:r>
        <w:t xml:space="preserve"> </w:t>
      </w:r>
      <w:r>
        <w:t xml:space="preserve">Despite the high pressure of their roles, many secondary teachers report inadequate compensation relative to the cost of living in Tehran. This economic strain affects morale and retention rates, particularly among younger educators.</w:t>
      </w:r>
    </w:p>
    <w:p>
      <w:pPr>
        <w:numPr>
          <w:ilvl w:val="0"/>
          <w:numId w:val="1001"/>
        </w:numPr>
        <w:pStyle w:val="Compact"/>
      </w:pPr>
      <w:r>
        <w:rPr>
          <w:bCs/>
          <w:b/>
        </w:rPr>
        <w:t xml:space="preserve">Bureaucratic Rigidity:</w:t>
      </w:r>
      <w:r>
        <w:t xml:space="preserve"> </w:t>
      </w:r>
      <w:r>
        <w:t xml:space="preserve">The centralized nature of the Iranian education system often limits teacher autonomy. In Tehran, where innovation is most needed, teachers frequently find their hands tied by rigid curricular mandates that do not always reflect the dynamic realities of urban youth.</w:t>
      </w:r>
    </w:p>
    <w:p>
      <w:pPr>
        <w:numPr>
          <w:ilvl w:val="0"/>
          <w:numId w:val="1001"/>
        </w:numPr>
        <w:pStyle w:val="Compact"/>
      </w:pPr>
      <w:r>
        <w:rPr>
          <w:bCs/>
          <w:b/>
        </w:rPr>
        <w:t xml:space="preserve">Social Expectations:</w:t>
      </w:r>
      <w:r>
        <w:t xml:space="preserve"> </w:t>
      </w:r>
      <w:r>
        <w:t xml:space="preserve">Teachers in Tehran are subject to intense scrutiny from parents and society. They are often held responsible for students’ performance in standardized tests, leading to high levels of professional burnout.</w:t>
      </w:r>
    </w:p>
    <w:bookmarkEnd w:id="29"/>
    <w:bookmarkStart w:id="30" w:name="recommendations-for-policy-and-practice"/>
    <w:p>
      <w:pPr>
        <w:pStyle w:val="Heading2"/>
      </w:pPr>
      <w:r>
        <w:t xml:space="preserve">5. Recommendations for Policy and Practice</w:t>
      </w:r>
    </w:p>
    <w:p>
      <w:pPr>
        <w:pStyle w:val="FirstParagraph"/>
      </w:pPr>
      <w:r>
        <w:t xml:space="preserve">To support the evolving role of secondary teachers in Tehran, several strategic actions are recommended:</w:t>
      </w:r>
    </w:p>
    <w:p>
      <w:pPr>
        <w:numPr>
          <w:ilvl w:val="0"/>
          <w:numId w:val="1002"/>
        </w:numPr>
        <w:pStyle w:val="Compact"/>
      </w:pPr>
      <w:r>
        <w:rPr>
          <w:bCs/>
          <w:b/>
        </w:rPr>
        <w:t xml:space="preserve">Pedagogical Training:</w:t>
      </w:r>
      <w:r>
        <w:t xml:space="preserve"> </w:t>
      </w:r>
      <w:r>
        <w:t xml:space="preserve">Investment in continuous professional development focused on digital literacy and student-centered pedagogy is essential. Workshops should be designed specifically for the Tehran context, addressing local challenges.</w:t>
      </w:r>
    </w:p>
    <w:p>
      <w:pPr>
        <w:numPr>
          <w:ilvl w:val="0"/>
          <w:numId w:val="1002"/>
        </w:numPr>
        <w:pStyle w:val="Compact"/>
      </w:pPr>
      <w:r>
        <w:rPr>
          <w:bCs/>
          <w:b/>
        </w:rPr>
        <w:t xml:space="preserve">Increased Autonomy:</w:t>
      </w:r>
    </w:p>
    <w:p>
      <w:pPr>
        <w:numPr>
          <w:ilvl w:val="0"/>
          <w:numId w:val="1002"/>
        </w:numPr>
        <w:pStyle w:val="Compact"/>
      </w:pPr>
      <w:r>
        <w:rPr>
          <w:bCs/>
          <w:b/>
        </w:rPr>
        <w:t xml:space="preserve">Economic Incentives:</w:t>
      </w:r>
    </w:p>
    <w:p>
      <w:pPr>
        <w:numPr>
          <w:ilvl w:val="0"/>
          <w:numId w:val="1002"/>
        </w:numPr>
        <w:pStyle w:val="Compact"/>
      </w:pPr>
      <w:r>
        <w:rPr>
          <w:bCs/>
          <w:b/>
        </w:rPr>
        <w:t xml:space="preserve">Mental Health Support:</w:t>
      </w:r>
      <w:r>
        <w:t xml:space="preserve">: Establishing counseling services specifically for educators can help mitigate burnout and improve overall job satisfaction.</w:t>
      </w:r>
    </w:p>
    <w:bookmarkEnd w:id="30"/>
    <w:bookmarkStart w:id="31" w:name="conclusion"/>
    <w:p>
      <w:pPr>
        <w:pStyle w:val="Heading2"/>
      </w:pPr>
      <w:r>
        <w:t xml:space="preserve">6. Conclusion</w:t>
      </w:r>
    </w:p>
    <w:p>
      <w:pPr>
        <w:pStyle w:val="FirstParagraph"/>
      </w:pPr>
      <w:r>
        <w:t xml:space="preserve">The secondary teacher in Tehran stands at the forefront of educational change in Iran. They are tasked with preserving cultural identity while equipping students with the skills necessary for a rapidly changing world. As demonstrated, their role extends far beyond traditional instruction; they are cultural mediators, technological adopters, and critical thinkers.</w:t>
      </w:r>
    </w:p>
    <w:p>
      <w:pPr>
        <w:pStyle w:val="BodyText"/>
      </w:pPr>
      <w:r>
        <w:t xml:space="preserve">For Iran to achieve its goals of educational excellence and social development, it must recognize and support the professional growth of these educators. By addressing the structural challenges faced by secondary teachers in Tehran—through improved training, autonomy, and economic support—Iran can foster a generation of students who are not only academically proficient but also critically engaged citizens. The future of education in Iran depends heavily on empowering its teachers to navigate this complex landscape with confidence and creativity.</w:t>
      </w:r>
    </w:p>
    <w:bookmarkEnd w:id="31"/>
    <w:bookmarkStart w:id="32" w:name="references"/>
    <w:p>
      <w:pPr>
        <w:pStyle w:val="Heading2"/>
      </w:pPr>
      <w:r>
        <w:t xml:space="preserve">References</w:t>
      </w:r>
    </w:p>
    <w:p>
      <w:pPr>
        <w:numPr>
          <w:ilvl w:val="0"/>
          <w:numId w:val="1003"/>
        </w:numPr>
        <w:pStyle w:val="Compact"/>
      </w:pPr>
      <w:r>
        <w:t xml:space="preserve">Mohammadi, A. (2018). *Educational Reform in Post-Revolutionary Iran*. Tehran University Press.</w:t>
      </w:r>
    </w:p>
    <w:p>
      <w:pPr>
        <w:numPr>
          <w:ilvl w:val="0"/>
          <w:numId w:val="1003"/>
        </w:numPr>
        <w:pStyle w:val="Compact"/>
      </w:pPr>
      <w:r>
        <w:t xml:space="preserve">Rahimi, E., &amp; Noorazar, M. H. (2019). "Teacher Education and Professional Development in Iran." *Journal of Teacher Education*, 70(1).</w:t>
      </w:r>
    </w:p>
    <w:p>
      <w:pPr>
        <w:numPr>
          <w:ilvl w:val="0"/>
          <w:numId w:val="1003"/>
        </w:numPr>
        <w:pStyle w:val="Compact"/>
      </w:pPr>
      <w:r>
        <w:t xml:space="preserve">Zarrabian, J., Park, J., &amp; Hung, V. (2015). "Teaching English as a Foreign Language in Iran: A Review of Research from 2004 to 2014." *Iranian Journal of Applied Linguistics*, 18(1).</w:t>
      </w:r>
    </w:p>
    <w:p>
      <w:pPr>
        <w:numPr>
          <w:ilvl w:val="0"/>
          <w:numId w:val="1003"/>
        </w:numPr>
        <w:pStyle w:val="Compact"/>
      </w:pPr>
      <w:r>
        <w:t xml:space="preserve">Ministry of Education Islamic Republic of Iran. (2020). *National Document on Educational Transformation*. Tehran.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Secondary Teacher in Iran: Tehran as a Case Study for Educational Modernization</dc:title>
  <dc:creator/>
  <dc:language>en</dc:language>
  <cp:keywords/>
  <dcterms:created xsi:type="dcterms:W3CDTF">2026-07-29T08:19:49Z</dcterms:created>
  <dcterms:modified xsi:type="dcterms:W3CDTF">2026-07-29T08:19:49Z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