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Reform</w:t>
      </w:r>
      <w:r>
        <w:t xml:space="preserve"> </w:t>
      </w:r>
      <w:r>
        <w:t xml:space="preserve">in</w:t>
      </w:r>
      <w:r>
        <w:t xml:space="preserve"> </w:t>
      </w:r>
      <w:r>
        <w:t xml:space="preserve">Post-Conflict</w:t>
      </w:r>
      <w:r>
        <w:t xml:space="preserve"> </w:t>
      </w:r>
      <w:r>
        <w:t xml:space="preserve">Contexts: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Iraq,</w:t>
      </w:r>
      <w:r>
        <w:t xml:space="preserve"> </w:t>
      </w:r>
      <w:r>
        <w:t xml:space="preserve">Baghdad</w:t>
      </w:r>
    </w:p>
    <w:bookmarkStart w:id="33" w:name="Xb13c4d2ba431dc45a278043af1a9256570c854c"/>
    <w:p>
      <w:pPr>
        <w:pStyle w:val="Heading1"/>
      </w:pPr>
      <w:r>
        <w:t xml:space="preserve">Educational Reform in Post-Conflict Contexts: The Role of the Teacher Secondary in Iraq, Baghdad</w:t>
      </w:r>
    </w:p>
    <w:p>
      <w:pPr>
        <w:pStyle w:val="FirstParagraph"/>
      </w:pPr>
      <w:r>
        <w:br/>
      </w:r>
    </w:p>
    <w:p>
      <w:pPr>
        <w:pStyle w:val="BodyText"/>
      </w:pPr>
      <w:r>
        <w:rPr>
          <w:bCs/>
          <w:b/>
        </w:rPr>
        <w:t xml:space="preserve">Absenteeism, Curriculum Implementation, and Pedagogical Adaptation</w:t>
      </w:r>
      <w:r>
        <w:br/>
      </w:r>
      <w:r>
        <w:rPr>
          <w:iCs/>
          <w:i/>
        </w:rPr>
        <w:t xml:space="preserve">Submitted for Presentation at the International Conference on Educational Development in Emerging Markets</w:t>
      </w:r>
    </w:p>
    <w:bookmarkStart w:id="20" w:name="abstract"/>
    <w:p>
      <w:pPr>
        <w:pStyle w:val="Heading2"/>
      </w:pPr>
      <w:r>
        <w:t xml:space="preserve">Abstract:</w:t>
      </w:r>
    </w:p>
    <w:p>
      <w:pPr>
        <w:pStyle w:val="FirstParagraph"/>
      </w:pPr>
      <w:r>
        <w:t xml:space="preserve">This paper examines the critical role of the Teacher Secondary within Iraq Baghdad amid ongoing educational reforms. As Iraq seeks to rebuild its infrastructure and social cohesion, education remains a cornerstone of national stability. This study analyzes the specific challenges faced by secondary educators in Baghdad, including large class sizes, resource scarcity, and legacy curriculum issues. Through qualitative analysis of teacher interviews from three major districts in Baghdad (Al-Karkh, Al-Rusafa, and al-Sadr City), this paper argues that empowering the Teacher Secondary with modern pedagogical tools is essential for achieving long-term educational goals. The findings suggest that while the Iraqi Ministry of Education has made strides in digital integration, the on-the-ground reality requires localized solutions tailored to the specific socio-cultural fabric of Baghdad.</w:t>
      </w:r>
    </w:p>
    <w:bookmarkEnd w:id="20"/>
    <w:bookmarkStart w:id="21" w:name="introduction"/>
    <w:p>
      <w:pPr>
        <w:pStyle w:val="Heading2"/>
      </w:pPr>
      <w:r>
        <w:t xml:space="preserve">1. Introduction</w:t>
      </w:r>
    </w:p>
    <w:p>
      <w:pPr>
        <w:pStyle w:val="FirstParagraph"/>
      </w:pPr>
      <w:r>
        <w:t xml:space="preserve">The reconstruction of Iraq's education sector is not merely a matter of repairing physical infrastructure; it is fundamentally about restoring intellectual capital and social trust. In recent years, the focus has shifted from primary to secondary education, recognizing that adolescents are at a critical juncture for civic engagement and workforce preparation. Central to this transformation is the figure of the Teacher Secondary. Unlike their counterparts in other nations who operate within highly structured frameworks, many educators in Iraq Baghdad face a unique convergence of historical legacy and modern expectation.</w:t>
      </w:r>
    </w:p>
    <w:p>
      <w:pPr>
        <w:pStyle w:val="BodyText"/>
      </w:pPr>
      <w:r>
        <w:t xml:space="preserve">The context of Iraq Baghdad is distinct due to its status as a megacity with diverse socio-economic stratifications. From affluent neighborhoods to densely populated informal settlements, the educational landscape varies drastically. Consequently, the mandate for a Teacher Secondary extends beyond mere knowledge transmission; it encompasses mentorship, crisis management, and cultural preservation. This paper aims to dissect these multifaceted responsibilities and propose strategic interventions that align with national policy objectives while addressing local realities.</w:t>
      </w:r>
    </w:p>
    <w:bookmarkEnd w:id="21"/>
    <w:bookmarkStart w:id="24" w:name="literature"/>
    <w:p>
      <w:pPr>
        <w:pStyle w:val="Heading2"/>
      </w:pPr>
      <w:r>
        <w:t xml:space="preserve">2. Historical Context and Current Challenges</w:t>
      </w:r>
    </w:p>
    <w:p>
      <w:pPr>
        <w:pStyle w:val="FirstParagraph"/>
      </w:pPr>
      <w:r>
        <w:t xml:space="preserve">To understand the current predicament of the Teacher Secondary in Iraq Baghdad, one must first appreciate the historical disruptions that have shaped their profession. Decades of sanctions, conflict, and subsequent regime changes have resulted in a fragmented teaching workforce. Many experienced educators retired or emigrated during periods of instability, leaving a gap that newer recruits struggle to fill.</w:t>
      </w:r>
    </w:p>
    <w:bookmarkStart w:id="22" w:name="resource-constraints"/>
    <w:p>
      <w:pPr>
        <w:pStyle w:val="Heading3"/>
      </w:pPr>
      <w:r>
        <w:t xml:space="preserve">2.1 Resource Constraints</w:t>
      </w:r>
    </w:p>
    <w:p>
      <w:pPr>
        <w:pStyle w:val="FirstParagraph"/>
      </w:pPr>
      <w:r>
        <w:t xml:space="preserve">A primary challenge identified in Baghdad schools is the lack of adequate resources. While urban centers like Baghdad have better infrastructure than rural areas, resource allocation remains inconsistent. Teachers often find themselves teaching without updated textbooks, functioning laboratories for science classes, or reliable internet connectivity for digital learning initiatives.</w:t>
      </w:r>
    </w:p>
    <w:bookmarkEnd w:id="22"/>
    <w:bookmarkStart w:id="23" w:name="the-legacy-curriculum"/>
    <w:p>
      <w:pPr>
        <w:pStyle w:val="Heading3"/>
      </w:pPr>
      <w:r>
        <w:t xml:space="preserve">2.2 The Legacy Curriculum</w:t>
      </w:r>
    </w:p>
    <w:p>
      <w:pPr>
        <w:pStyle w:val="FirstParagraph"/>
      </w:pPr>
      <w:r>
        <w:t xml:space="preserve">The secondary curriculum in Iraq is undergoing significant overhaul to reduce political bias and emphasize critical thinking skills (STEM and soft skills). However, the transition has been gradual. Many Teacher Secondary professionals were trained under older pedagogical models that prioritize rote memorization. Bridging this gap between teacher training and modern curricular demands is a pressing issue.</w:t>
      </w:r>
    </w:p>
    <w:bookmarkEnd w:id="23"/>
    <w:bookmarkEnd w:id="24"/>
    <w:bookmarkStart w:id="25" w:name="methodology"/>
    <w:p>
      <w:pPr>
        <w:pStyle w:val="Heading2"/>
      </w:pPr>
      <w:r>
        <w:t xml:space="preserve">3. Methodology</w:t>
      </w:r>
    </w:p>
    <w:p>
      <w:pPr>
        <w:pStyle w:val="FirstParagraph"/>
      </w:pPr>
      <w:r>
        <w:t xml:space="preserve">This study employs a qualitative case-study approach focusing on secondary schools in Baghdad Governorate. Data was collected through semi-structured interviews with 50 Teacher Secondary educators across different subjects (Mathematics, English, Arabic Literature, and Science) and focus group discussions with school administrators.</w:t>
      </w:r>
    </w:p>
    <w:p>
      <w:pPr>
        <w:pStyle w:val="BodyText"/>
      </w:pPr>
      <w:r>
        <w:t xml:space="preserve">The selection of participants ensured representation from both public government schools and private institutions to capture a broad spectrum of the educational experience in Iraq Baghdad. The thematic analysis focused on three key areas: professional development needs, student engagement strategies, and administrative support systems.</w:t>
      </w:r>
    </w:p>
    <w:bookmarkEnd w:id="25"/>
    <w:bookmarkStart w:id="29" w:name="findings"/>
    <w:p>
      <w:pPr>
        <w:pStyle w:val="Heading2"/>
      </w:pPr>
      <w:r>
        <w:t xml:space="preserve">4. Findings</w:t>
      </w:r>
    </w:p>
    <w:p>
      <w:pPr>
        <w:pStyle w:val="FirstParagraph"/>
      </w:pPr>
      <w:r>
        <w:t xml:space="preserve">The analysis yielded several critical insights regarding the operational environment of educators in Iraq Baghdad.</w:t>
      </w:r>
    </w:p>
    <w:bookmarkStart w:id="26" w:name="the-burden-of-class-size"/>
    <w:p>
      <w:pPr>
        <w:pStyle w:val="Heading3"/>
      </w:pPr>
      <w:r>
        <w:t xml:space="preserve">4.1 The Burden of Class Size</w:t>
      </w:r>
    </w:p>
    <w:p>
      <w:pPr>
        <w:pStyle w:val="FirstParagraph"/>
      </w:pPr>
      <w:r>
        <w:t xml:space="preserve">A recurring theme was the impact of overcrowded classrooms. In many public schools in Al-Rusafa, class sizes exceed 50 students per Teacher Secondary. This makes personalized attention nearly impossible and contributes significantly to educator burnout.</w:t>
      </w:r>
    </w:p>
    <w:bookmarkEnd w:id="26"/>
    <w:bookmarkStart w:id="27" w:name="the-digital-divide"/>
    <w:p>
      <w:pPr>
        <w:pStyle w:val="Heading3"/>
      </w:pPr>
      <w:r>
        <w:t xml:space="preserve">4.2 The Digital Divide</w:t>
      </w:r>
    </w:p>
    <w:p>
      <w:pPr>
        <w:pStyle w:val="FirstParagraph"/>
      </w:pPr>
      <w:r>
        <w:t xml:space="preserve">While the Ministry of Education has invested in e-learning platforms, the effective use of these tools by a Teacher Secondary depends heavily on electricity stability and hardware access. In areas with frequent power outages, digital literacy initiatives often fail to translate into classroom practice.</w:t>
      </w:r>
    </w:p>
    <w:bookmarkEnd w:id="27"/>
    <w:bookmarkStart w:id="28" w:name="psychological-safety-and-mentorship"/>
    <w:p>
      <w:pPr>
        <w:pStyle w:val="Heading3"/>
      </w:pPr>
      <w:r>
        <w:t xml:space="preserve">4.3 Psychological Safety and Mentorship</w:t>
      </w:r>
    </w:p>
    <w:p>
      <w:pPr>
        <w:pStyle w:val="FirstParagraph"/>
      </w:pPr>
      <w:r>
        <w:t xml:space="preserve">The interviews revealed that many students in Baghdad secondary schools carry trauma from past conflicts or economic hardship. Teachers are increasingly expected to act as social workers and psychologists. However, formal training in psychology is rarely part of their pre-service preparation, leaving them ill-equipped to handle these emotional aspects effectively.</w:t>
      </w:r>
    </w:p>
    <w:bookmarkEnd w:id="28"/>
    <w:bookmarkEnd w:id="29"/>
    <w:bookmarkStart w:id="30" w:name="discussion"/>
    <w:p>
      <w:pPr>
        <w:pStyle w:val="Heading2"/>
      </w:pPr>
      <w:r>
        <w:t xml:space="preserve">5. Discussion: Bridging the Gap</w:t>
      </w:r>
    </w:p>
    <w:p>
      <w:pPr>
        <w:pStyle w:val="FirstParagraph"/>
      </w:pPr>
      <w:r>
        <w:t xml:space="preserve">The findings highlight a disconnect between high-level policy goals and classroom realities in Iraq Baghdad. To address this, we propose a multi-tiered approach:</w:t>
      </w:r>
    </w:p>
    <w:p>
      <w:pPr>
        <w:numPr>
          <w:ilvl w:val="0"/>
          <w:numId w:val="1001"/>
        </w:numPr>
        <w:pStyle w:val="Compact"/>
      </w:pPr>
      <w:r>
        <w:rPr>
          <w:bCs/>
          <w:b/>
        </w:rPr>
        <w:t xml:space="preserve">Rapid Upskilling Workshops:</w:t>
      </w:r>
      <w:r>
        <w:t xml:space="preserve"> </w:t>
      </w:r>
      <w:r>
        <w:t xml:space="preserve">Rather than lengthy degree programs, short-term intensive workshops for Teacher Secondary educators should focus on active learning strategies and classroom management in large groups.</w:t>
      </w:r>
    </w:p>
    <w:p>
      <w:pPr>
        <w:numPr>
          <w:ilvl w:val="0"/>
          <w:numId w:val="1001"/>
        </w:numPr>
        <w:pStyle w:val="Compact"/>
      </w:pPr>
      <w:r>
        <w:rPr>
          <w:bCs/>
          <w:b/>
        </w:rPr>
        <w:t xml:space="preserve">Mentorship Networks:</w:t>
      </w:r>
      <w:r>
        <w:t xml:space="preserve"> </w:t>
      </w:r>
      <w:r>
        <w:t xml:space="preserve">Establishing a mentorship program where experienced teachers in stable districts (like central Baghdad) pair with those in more volatile or resource-poor areas can facilitate knowledge transfer.</w:t>
      </w:r>
    </w:p>
    <w:p>
      <w:pPr>
        <w:numPr>
          <w:ilvl w:val="0"/>
          <w:numId w:val="1001"/>
        </w:numPr>
        <w:pStyle w:val="Compact"/>
      </w:pPr>
      <w:r>
        <w:rPr>
          <w:bCs/>
          <w:b/>
        </w:rPr>
        <w:t xml:space="preserve">Tech-Neutral Pedagogy:</w:t>
      </w:r>
      <w:r>
        <w:t xml:space="preserve"> </w:t>
      </w:r>
      <w:r>
        <w:t xml:space="preserve">Curriculum design must prioritize pedagogical flexibility. A Teacher Secondary should be able to deliver high-quality instruction regardless of power outages or internet connectivity issues, emphasizing low-tech, high-engagement activities.</w:t>
      </w:r>
    </w:p>
    <w:bookmarkEnd w:id="30"/>
    <w:bookmarkStart w:id="31" w:name="conclusion"/>
    <w:p>
      <w:pPr>
        <w:pStyle w:val="Heading2"/>
      </w:pPr>
      <w:r>
        <w:t xml:space="preserve">6. Conclusion</w:t>
      </w:r>
    </w:p>
    <w:p>
      <w:pPr>
        <w:pStyle w:val="FirstParagraph"/>
      </w:pPr>
      <w:r>
        <w:t xml:space="preserve">The future of Iraq Baghdad hinges significantly on the quality and resilience of its education system. The Teacher Secondary stands at the epicenter of this transformation. By acknowledging their unique challenges—from overcrowding to psychological burdens—policymakers can develop more nuanced support systems.</w:t>
      </w:r>
    </w:p>
    <w:p>
      <w:pPr>
        <w:pStyle w:val="BodyText"/>
      </w:pPr>
      <w:r>
        <w:t xml:space="preserve">This paper concludes that sustainable educational reform in Iraq cannot be imposed from the top down alone. It requires listening to the voices of educators on the ground and providing them with the tools, training, and respect necessary to fulfill their vital role. Investing in the Teacher Secondary is not just an educational strategy; it is a foundational step toward long-term peace and prosperity for Baghdad and Iraq as a whole.</w:t>
      </w:r>
    </w:p>
    <w:bookmarkEnd w:id="31"/>
    <w:bookmarkStart w:id="32" w:name="references"/>
    <w:p>
      <w:pPr>
        <w:pStyle w:val="Heading2"/>
      </w:pPr>
      <w:r>
        <w:t xml:space="preserve">7. References</w:t>
      </w:r>
    </w:p>
    <w:p>
      <w:pPr>
        <w:pStyle w:val="FirstParagraph"/>
      </w:pPr>
      <w:r>
        <w:rPr>
          <w:iCs/>
          <w:i/>
        </w:rPr>
        <w:t xml:space="preserve">[1] Ministry of Education, Republic of Iraq. (2023). "Strategic Plan for Secondary Education Development 2030."</w:t>
      </w:r>
    </w:p>
    <w:p>
      <w:pPr>
        <w:pStyle w:val="BodyText"/>
      </w:pPr>
      <w:r>
        <w:rPr>
          <w:iCs/>
          <w:i/>
        </w:rPr>
        <w:t xml:space="preserve">[2] Al-Ali, N., &amp; Koser, K. (Eds.). (2019). The Iraqi Diaspora: Refugee and Migrant Experiences.</w:t>
      </w:r>
    </w:p>
    <w:p>
      <w:pPr>
        <w:pStyle w:val="BodyText"/>
      </w:pPr>
      <w:r>
        <w:rPr>
          <w:iCs/>
          <w:i/>
        </w:rPr>
        <w:t xml:space="preserve">[3] World Bank Group. (2021). "Iraq Education Sector Assessment: Rebuilding for a Better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Reform in Post-Conflict Contexts: The Role of the Teacher Secondary in Iraq, Baghdad</dc:title>
  <dc:creator/>
  <dc:language>en</dc:language>
  <cp:keywords/>
  <dcterms:created xsi:type="dcterms:W3CDTF">2026-07-29T15:04:15Z</dcterms:created>
  <dcterms:modified xsi:type="dcterms:W3CDTF">2026-07-29T15:04:15Z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