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Teacher</w:t>
      </w:r>
      <w:r>
        <w:t xml:space="preserve"> </w:t>
      </w:r>
      <w:r>
        <w:t xml:space="preserve">Secondary:</w:t>
      </w:r>
      <w:r>
        <w:t xml:space="preserve"> </w:t>
      </w:r>
      <w:r>
        <w:t xml:space="preserve">Pedagogical</w:t>
      </w:r>
      <w:r>
        <w:t xml:space="preserve"> </w:t>
      </w:r>
      <w:r>
        <w:t xml:space="preserve">Shifts</w:t>
      </w:r>
      <w:r>
        <w:t xml:space="preserve"> </w:t>
      </w:r>
      <w:r>
        <w:t xml:space="preserve">and</w:t>
      </w:r>
      <w:r>
        <w:t xml:space="preserve"> </w:t>
      </w:r>
      <w:r>
        <w:t xml:space="preserve">Cultural</w:t>
      </w:r>
      <w:r>
        <w:t xml:space="preserve"> </w:t>
      </w:r>
      <w:r>
        <w:t xml:space="preserve">Integration</w:t>
      </w:r>
      <w:r>
        <w:t xml:space="preserve"> </w:t>
      </w:r>
      <w:r>
        <w:t xml:space="preserve">in</w:t>
      </w:r>
      <w:r>
        <w:t xml:space="preserve"> </w:t>
      </w:r>
      <w:r>
        <w:t xml:space="preserve">Japan</w:t>
      </w:r>
      <w:r>
        <w:t xml:space="preserve"> </w:t>
      </w:r>
      <w:r>
        <w:t xml:space="preserve">Kyoto</w:t>
      </w:r>
    </w:p>
    <w:bookmarkStart w:id="31" w:name="Xd7c5c32d95bc12e42f60cd1e06862758d2bbf48"/>
    <w:p>
      <w:pPr>
        <w:pStyle w:val="Heading1"/>
      </w:pPr>
      <w:r>
        <w:t xml:space="preserve">The Modern Teacher Secondary: Pedagogical Shifts and Cultural Integration in Japan Kyoto</w:t>
      </w:r>
    </w:p>
    <w:p>
      <w:pPr>
        <w:pStyle w:val="FirstParagraph"/>
      </w:pPr>
      <w:r>
        <w:rPr>
          <w:bCs/>
          <w:b/>
        </w:rPr>
        <w:t xml:space="preserve">Conference Paper Submitted for the International Symposium on Educational Excellence</w:t>
      </w:r>
    </w:p>
    <w:p>
      <w:pPr>
        <w:pStyle w:val="BodyText"/>
      </w:pPr>
      <w:r>
        <w:rPr>
          <w:iCs/>
          <w:i/>
        </w:rPr>
        <w:t xml:space="preserve">Location: Kyoto, Japan</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paper examines the evolving role of the Teacher Secondary within the unique cultural and educational landscape of Japan Kyoto. As global pedagogical standards shift toward student-centered learning, traditional Japanese methods face a dual challenge: modernizing instruction while preserving local cultural heritage. This study explores how secondary educators in Kyoto are navigating this transition, utilizing the city’s rich historical context as a pedagogical tool. It argues that the effective Teacher Secondary in Japan Kyoto must act as both an academic instructor and a cultural mediator, fostering critical thinking without eroding social cohesion.</w:t>
      </w:r>
    </w:p>
    <w:bookmarkEnd w:id="20"/>
    <w:bookmarkStart w:id="21" w:name="introduction"/>
    <w:p>
      <w:pPr>
        <w:pStyle w:val="Heading2"/>
      </w:pPr>
      <w:r>
        <w:t xml:space="preserve">1. Introduction</w:t>
      </w:r>
    </w:p>
    <w:p>
      <w:pPr>
        <w:pStyle w:val="FirstParagraph"/>
      </w:pPr>
      <w:r>
        <w:t xml:space="preserve">The educational landscape of the 21st century is characterized by rapid technological advancement and shifting societal expectations. In Japan, these changes are particularly poignant when viewed through the lens of Kyoto, a city that serves as both the cultural heart of the nation and a hub for progressive educational experimentation. The role of the Teacher Secondary in this context is not merely to transmit knowledge but to facilitate complex cognitive development within a highly structured social environment.</w:t>
      </w:r>
    </w:p>
    <w:p>
      <w:pPr>
        <w:pStyle w:val="BodyText"/>
      </w:pPr>
      <w:r>
        <w:t xml:space="preserve">Kyoto offers a distinct case study because it balances deep historical tradition with modern innovation. For the secondary student, caught between adolescence and adulthood, these dualities are mirrored in their educational experience. The Teacher Secondary in Japan Kyoto must therefore possess a nuanced understanding of both global pedagogical trends and local cultural norms. This paper aims to delineate the specific competencies required for this role and to propose frameworks for integrating traditional Japanese values with contemporary teaching methodologies.</w:t>
      </w:r>
    </w:p>
    <w:bookmarkEnd w:id="21"/>
    <w:bookmarkStart w:id="22" w:name="Xe1258bc8bb782953a8fb12a0eed1710812b6e0c"/>
    <w:p>
      <w:pPr>
        <w:pStyle w:val="Heading2"/>
      </w:pPr>
      <w:r>
        <w:t xml:space="preserve">2. The Cultural Context of Education in Japan Kyoto</w:t>
      </w:r>
    </w:p>
    <w:p>
      <w:pPr>
        <w:pStyle w:val="FirstParagraph"/>
      </w:pPr>
      <w:r>
        <w:t xml:space="preserve">To understand the mandate of the Teacher Secondary, one must first appreciate the cultural substrate of Kyoto. Unlike Tokyo, which is often viewed as a beacon of rapid modernization and global integration, Kyoto is revered for its preservation of *wa* (harmony) and respect for hierarchy. In secondary schools located here, social dynamics are heavily influenced by these concepts.</w:t>
      </w:r>
    </w:p>
    <w:p>
      <w:pPr>
        <w:pStyle w:val="BodyText"/>
      </w:pPr>
      <w:r>
        <w:t xml:space="preserve">For the Teacher Secondary, this means that classroom management cannot rely solely on behavioral contracts or external rewards. Instead, it requires a relational approach rooted in mutual respect and group cohesion. Students in Kyoto secondary education are accustomed to collective responsibility, evident in practices such as *souji* (cleaning time), where students maintain their own learning environments. The modern Teacher Secondary must leverage this intrinsic motivation for communal well-being while encouraging individual expression—a balance that is notoriously difficult to strike.</w:t>
      </w:r>
    </w:p>
    <w:bookmarkEnd w:id="22"/>
    <w:bookmarkStart w:id="23" w:name="X71a2780e74755412ae05b63ae11df666384185f"/>
    <w:p>
      <w:pPr>
        <w:pStyle w:val="Heading2"/>
      </w:pPr>
      <w:r>
        <w:t xml:space="preserve">3. Pedagogical Shifts: From Transmission to Facilitation</w:t>
      </w:r>
    </w:p>
    <w:p>
      <w:pPr>
        <w:pStyle w:val="FirstParagraph"/>
      </w:pPr>
      <w:r>
        <w:t xml:space="preserve">Historically, Japanese secondary education has been characterized by rote learning and preparation for high-stakes entrance examinations. However, the Ministry of Education, Culture, Sports, Science and Technology (MEXT) has recently pushed for a shift toward *zestful life* (*ikiru chikara*), emphasizing autonomy and problem-solving skills. This transition places immense pressure on the Teacher Secondary.</w:t>
      </w:r>
    </w:p>
    <w:p>
      <w:pPr>
        <w:pStyle w:val="BodyText"/>
      </w:pPr>
      <w:r>
        <w:t xml:space="preserve">In Japan Kyoto specifically, this pedagogical shift is complicated by parental expectations rooted in tradition. Parents often view academic rigor as the primary pathway to success, sometimes resisting more open-ended, inquiry-based learning methods. Consequently, the effective Teacher Secondary must become a communicator who can translate modern educational benefits into terms that resonate with traditional values. This involves demonstrating how critical thinking and creative problem-solving ultimately lead to better societal contribution and long-term stability.</w:t>
      </w:r>
    </w:p>
    <w:bookmarkEnd w:id="23"/>
    <w:bookmarkStart w:id="26" w:name="Xa98eeaef0d2ee868940e28164f56f57efa87105"/>
    <w:p>
      <w:pPr>
        <w:pStyle w:val="Heading2"/>
      </w:pPr>
      <w:r>
        <w:t xml:space="preserve">4. Integrating Local Heritage into Curriculum</w:t>
      </w:r>
    </w:p>
    <w:p>
      <w:pPr>
        <w:pStyle w:val="FirstParagraph"/>
      </w:pPr>
      <w:r>
        <w:t xml:space="preserve">A unique advantage for the Teacher Secondary in Japan Kyoto is the availability of cultural capital as an educational resource. The city’s temples, traditional crafts (*kyoyuzen*, *kyokomonzen*), and historical sites provide authentic contexts for interdisciplinary learning. This paper argues that secondary curricula should actively incorporate these elements to enhance engagement.</w:t>
      </w:r>
    </w:p>
    <w:bookmarkStart w:id="24" w:name="place-based-learning"/>
    <w:p>
      <w:pPr>
        <w:pStyle w:val="Heading3"/>
      </w:pPr>
      <w:r>
        <w:t xml:space="preserve">4.1 Place-Based Learning</w:t>
      </w:r>
    </w:p>
    <w:p>
      <w:pPr>
        <w:pStyle w:val="FirstParagraph"/>
      </w:pPr>
      <w:r>
        <w:t xml:space="preserve">The Teacher Secondary can utilize Kyoto’s urban fabric as a living laboratory. For instance, mathematics lessons can explore the geometry of temple architecture, while social studies can examine the economic history of merchant houses in the Gion district. This approach not only makes abstract concepts concrete but also instills a sense of pride and identity in students. It transforms education from an abstract transaction into a meaningful connection with one’s heritage.</w:t>
      </w:r>
    </w:p>
    <w:bookmarkEnd w:id="24"/>
    <w:bookmarkStart w:id="25" w:name="language-and-etiquette"/>
    <w:p>
      <w:pPr>
        <w:pStyle w:val="Heading3"/>
      </w:pPr>
      <w:r>
        <w:t xml:space="preserve">4.2 Language and Etiquette</w:t>
      </w:r>
    </w:p>
    <w:p>
      <w:pPr>
        <w:pStyle w:val="FirstParagraph"/>
      </w:pPr>
      <w:r>
        <w:t xml:space="preserve">Kyoto dialect (*Kyoto-ben*) and specific honorifics pose challenges for standardization in language arts, yet they offer rich opportunities for sociolinguistic study. The Teacher Secondary can guide students in analyzing how language shapes social hierarchy, thereby teaching both linguistic precision and social empathy. This dual focus aligns with the goal of developing well-rounded individuals who are competent academically and socially aware.</w:t>
      </w:r>
    </w:p>
    <w:bookmarkEnd w:id="25"/>
    <w:bookmarkEnd w:id="26"/>
    <w:bookmarkStart w:id="27" w:name="Xbf76b90f9c1799fe1d83431e031409953562aa6"/>
    <w:p>
      <w:pPr>
        <w:pStyle w:val="Heading2"/>
      </w:pPr>
      <w:r>
        <w:t xml:space="preserve">5. Challenges Faced by the Teacher Secondary</w:t>
      </w:r>
    </w:p>
    <w:p>
      <w:pPr>
        <w:pStyle w:val="FirstParagraph"/>
      </w:pPr>
      <w:r>
        <w:t xml:space="preserve">Despite the opportunities, secondary teachers in Kyoto face significant hurdles. One major issue is teacher burnout, exacerbated by long working hours and administrative burdens. The expectation to maintain high academic standards while also acting as a counselor and community liaison creates unsustainable workloads.</w:t>
      </w:r>
    </w:p>
    <w:p>
      <w:pPr>
        <w:pStyle w:val="BodyText"/>
      </w:pPr>
      <w:r>
        <w:t xml:space="preserve">Furthermore, there is a generational gap between the aging teaching staff and the digital-native secondary students. Younger teachers may struggle to connect with older colleagues who prefer traditional methods, while simultaneously trying to relate to students who are increasingly influenced by global internet culture. Bridging this gap requires professional development that focuses not just on pedagogical techniques but on collaborative culture building among staff.</w:t>
      </w:r>
    </w:p>
    <w:bookmarkEnd w:id="27"/>
    <w:bookmarkStart w:id="28" w:name="strategies-for-professional-development"/>
    <w:p>
      <w:pPr>
        <w:pStyle w:val="Heading2"/>
      </w:pPr>
      <w:r>
        <w:t xml:space="preserve">6. Strategies for Professional Development</w:t>
      </w:r>
    </w:p>
    <w:p>
      <w:pPr>
        <w:pStyle w:val="FirstParagraph"/>
      </w:pPr>
      <w:r>
        <w:t xml:space="preserve">To support the Teacher Secondary, institutions must invest in targeted professional development programs. These should include:</w:t>
      </w:r>
    </w:p>
    <w:p>
      <w:pPr>
        <w:numPr>
          <w:ilvl w:val="0"/>
          <w:numId w:val="1001"/>
        </w:numPr>
        <w:pStyle w:val="Compact"/>
      </w:pPr>
      <w:r>
        <w:rPr>
          <w:bCs/>
          <w:b/>
        </w:rPr>
        <w:t xml:space="preserve">Cultural Competency Training:</w:t>
      </w:r>
      <w:r>
        <w:t xml:space="preserve"> </w:t>
      </w:r>
      <w:r>
        <w:t xml:space="preserve">Helping teachers understand the diverse backgrounds of students, including foreign residents and returnees (*kikokushijo*), who are increasingly common in Kyoto.</w:t>
      </w:r>
    </w:p>
    <w:p>
      <w:pPr>
        <w:numPr>
          <w:ilvl w:val="0"/>
          <w:numId w:val="1001"/>
        </w:numPr>
        <w:pStyle w:val="Compact"/>
      </w:pPr>
      <w:r>
        <w:rPr>
          <w:bCs/>
          <w:b/>
        </w:rPr>
        <w:t xml:space="preserve">Mentorship Networks:</w:t>
      </w:r>
      <w:r>
        <w:t xml:space="preserve"> </w:t>
      </w:r>
      <w:r>
        <w:t xml:space="preserve">Establishing cross-school mentorship programs where experienced educators share best practices for integrating local culture with modern pedagogy.</w:t>
      </w:r>
    </w:p>
    <w:p>
      <w:pPr>
        <w:numPr>
          <w:ilvl w:val="0"/>
          <w:numId w:val="1001"/>
        </w:numPr>
        <w:pStyle w:val="Compact"/>
      </w:pPr>
      <w:r>
        <w:rPr>
          <w:bCs/>
          <w:b/>
        </w:rPr>
        <w:t xml:space="preserve">Well-being Initiatives:</w:t>
      </w:r>
      <w:r>
        <w:t xml:space="preserve"> </w:t>
      </w:r>
      <w:r>
        <w:t xml:space="preserve">Implementing policies that protect teacher work-life balance, recognizing that a supported teacher is better equipped to support students.</w:t>
      </w:r>
    </w:p>
    <w:bookmarkEnd w:id="28"/>
    <w:bookmarkStart w:id="29" w:name="conclusion"/>
    <w:p>
      <w:pPr>
        <w:pStyle w:val="Heading2"/>
      </w:pPr>
      <w:r>
        <w:t xml:space="preserve">7. Conclusion</w:t>
      </w:r>
    </w:p>
    <w:p>
      <w:pPr>
        <w:pStyle w:val="FirstParagraph"/>
      </w:pPr>
      <w:r>
        <w:t xml:space="preserve">The role of the Teacher Secondary in Japan Kyoto is multifaceted and demanding. It requires a delicate balancing act between honoring tradition and embracing innovation. By leveraging Kyoto’s unique cultural assets, secondary educators can create learning environments that are both rigorous and deeply meaningful for students.</w:t>
      </w:r>
    </w:p>
    <w:p>
      <w:pPr>
        <w:pStyle w:val="BodyText"/>
      </w:pPr>
      <w:r>
        <w:t xml:space="preserve">However, success depends on systemic support. Without adequate resources, reduced administrative burdens, and robust professional development frameworks, the potential of the modern Teacher Secondary cannot be fully realized. Future research should focus on longitudinal studies of secondary students in Kyoto to measure the long-term impact of these culturally integrated pedagogical approaches.</w:t>
      </w:r>
    </w:p>
    <w:p>
      <w:pPr>
        <w:pStyle w:val="BodyText"/>
      </w:pPr>
      <w:r>
        <w:t xml:space="preserve">In conclusion, the Teacher Secondary in Japan Kyoto is not just an educator but a guardian of cultural continuity and a catalyst for future innovation. By empowering these educators, we empower the next generation to navigate a complex world with confidence, competence, and cultural pride.</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MEXT. (2017). *Course of Study Guidelines for Junior High Schools and Senior High Schools*. Tokyo: Ministry of Education, Culture, Sports, Science and Technology.</w:t>
      </w:r>
    </w:p>
    <w:p>
      <w:pPr>
        <w:numPr>
          <w:ilvl w:val="0"/>
          <w:numId w:val="1002"/>
        </w:numPr>
        <w:pStyle w:val="Compact"/>
      </w:pPr>
      <w:r>
        <w:t xml:space="preserve">Takahashi, H. (2019). *Cultural Identity and Education in Post-Modern Kyoto*. Journal of Asian Studies Review.</w:t>
      </w:r>
    </w:p>
    <w:p>
      <w:pPr>
        <w:numPr>
          <w:ilvl w:val="0"/>
          <w:numId w:val="1002"/>
        </w:numPr>
        <w:pStyle w:val="Compact"/>
      </w:pPr>
      <w:r>
        <w:t xml:space="preserve">Nakamura, Y., &amp; Smith, J. (2021). *Teacher Burnout and Professional Support Systems in Japanese Secondary Schools*. Educational Research International.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Teacher Secondary: Pedagogical Shifts and Cultural Integration in Japan Kyoto</dc:title>
  <dc:creator/>
  <dc:language>en</dc:language>
  <cp:keywords/>
  <dcterms:created xsi:type="dcterms:W3CDTF">2026-07-29T21:28:40Z</dcterms:created>
  <dcterms:modified xsi:type="dcterms:W3CDTF">2026-07-29T21:28:40Z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