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Secondary</w:t>
      </w:r>
      <w:r>
        <w:t xml:space="preserve"> </w:t>
      </w:r>
      <w:r>
        <w:t xml:space="preserve">Education</w:t>
      </w:r>
      <w:r>
        <w:t xml:space="preserve"> </w:t>
      </w:r>
      <w:r>
        <w:t xml:space="preserve">in</w:t>
      </w:r>
      <w:r>
        <w:t xml:space="preserve"> </w:t>
      </w:r>
      <w:r>
        <w:t xml:space="preserve">Kuwait</w:t>
      </w:r>
    </w:p>
    <w:bookmarkStart w:id="27" w:name="X65208db78893a615585456d75e10a26d9bdf439"/>
    <w:p>
      <w:pPr>
        <w:pStyle w:val="Heading1"/>
      </w:pPr>
      <w:r>
        <w:t xml:space="preserve">Bridging Tradition and Modernity: The Evolving Role of the Teacher Secondary in Kuwait City</w:t>
      </w:r>
    </w:p>
    <w:p>
      <w:pPr>
        <w:pStyle w:val="FirstParagraph"/>
      </w:pPr>
      <w:r>
        <w:t xml:space="preserve">Presented at the International Conference on Educational Development in the Gulf Region</w:t>
      </w:r>
      <w:r>
        <w:br/>
      </w:r>
      <w:r>
        <w:t xml:space="preserve">Kuwait City, State of Kuwait</w:t>
      </w:r>
    </w:p>
    <w:p>
      <w:pPr>
        <w:pStyle w:val="BodyText"/>
      </w:pPr>
      <w:r>
        <w:rPr>
          <w:bCs/>
          <w:b/>
        </w:rPr>
        <w:t xml:space="preserve">Abstract:</w:t>
      </w:r>
      <w:r>
        <w:br/>
      </w:r>
      <w:r>
        <w:t xml:space="preserve">This conference paper examines the critical position of the Teacher Secondary within the evolving educational landscape of Kuwait City. As Kuwait navigates its post-oil economic diversification under "Kuwait Vision 2035," secondary education serves as a pivotal bridge between traditional values and modern technological demands. This study analyzes current pedagogical shifts, curriculum reforms, and socio-cultural challenges facing secondary educators in the capital region. By exploring case studies from high schools in Kuwait City, this paper argues that empowering Teacher Secondary professionals through continuous professional development (CPD) and digital integration is essential for fostering critical thinking and global competitiveness among Kuwaiti youth.</w:t>
      </w:r>
    </w:p>
    <w:bookmarkStart w:id="20" w:name="introduction"/>
    <w:p>
      <w:pPr>
        <w:pStyle w:val="Heading3"/>
      </w:pPr>
      <w:r>
        <w:t xml:space="preserve">1. Introduction</w:t>
      </w:r>
    </w:p>
    <w:p>
      <w:pPr>
        <w:pStyle w:val="FirstParagraph"/>
      </w:pPr>
      <w:r>
        <w:t xml:space="preserve">The educational framework of the State of Kuwait stands at a crossroads, reflecting the broader socio-economic transformations sweeping through the Middle East. At the heart of this transformation is secondary education, a phase that determines whether students will transition smoothly into higher education or the workforce. In this context, figure prominently as agents of change: specifically, those individuals who occupy classrooms in</w:t>
      </w:r>
      <w:r>
        <w:t xml:space="preserve"> </w:t>
      </w:r>
      <w:r>
        <w:rPr>
          <w:bCs/>
          <w:b/>
        </w:rPr>
        <w:t xml:space="preserve">Kuwait City</w:t>
      </w:r>
      <w:r>
        <w:t xml:space="preserve">. The capital serves not only as the political and economic hub of the nation but also as its intellectual center, where educational policies are tested and refined before potential national rollout.</w:t>
      </w:r>
    </w:p>
    <w:p>
      <w:pPr>
        <w:pStyle w:val="BodyText"/>
      </w:pPr>
      <w:r>
        <w:t xml:space="preserve">The role of a Teacher Secondary is no longer confined to the transmission of knowledge. In an era defined by rapid digitalization, globalization, and shifting labor market requirements, secondary educators in Kuwait are expected to become facilitators of critical thinking, mentors for career development, and guardians of national identity amidst global influences. This paper explores the multifaceted responsibilities placed upon Teacher Secondary professionals and analyzes how their experiences in</w:t>
      </w:r>
      <w:r>
        <w:t xml:space="preserve"> </w:t>
      </w:r>
      <w:r>
        <w:rPr>
          <w:bCs/>
          <w:b/>
        </w:rPr>
        <w:t xml:space="preserve">Kuwait City</w:t>
      </w:r>
      <w:r>
        <w:t xml:space="preserve"> </w:t>
      </w:r>
      <w:r>
        <w:t xml:space="preserve">illustrate broader trends affecting education across the Gulf Cooperation Council (GCC) region.</w:t>
      </w:r>
    </w:p>
    <w:bookmarkEnd w:id="20"/>
    <w:bookmarkStart w:id="21" w:name="historical-context-and-curriculum-reform"/>
    <w:p>
      <w:pPr>
        <w:pStyle w:val="Heading3"/>
      </w:pPr>
      <w:r>
        <w:t xml:space="preserve">2. Historical Context and Curriculum Reform</w:t>
      </w:r>
    </w:p>
    <w:p>
      <w:pPr>
        <w:pStyle w:val="FirstParagraph"/>
      </w:pPr>
      <w:r>
        <w:t xml:space="preserve">To understand the current state of secondary education, one must look back at the rapid modernization efforts initiated in recent decades. Historically, teaching in Kuwait was characterized by a teacher-centered approach, where authority flowed strictly from instructor to student. However, with the introduction of new national curricula aimed at enhancing scientific literacy and Arabic language proficiency simultaneously with English as a global lingua franca, pedagogical methods have had to adapt.</w:t>
      </w:r>
    </w:p>
    <w:p>
      <w:pPr>
        <w:pStyle w:val="BodyText"/>
      </w:pPr>
      <w:r>
        <w:t xml:space="preserve">In</w:t>
      </w:r>
      <w:r>
        <w:t xml:space="preserve"> </w:t>
      </w:r>
      <w:r>
        <w:rPr>
          <w:bCs/>
          <w:b/>
        </w:rPr>
        <w:t xml:space="preserve">Kuwait City</w:t>
      </w:r>
      <w:r>
        <w:t xml:space="preserve">, this shift is particularly visible. High schools here serve diverse populations, including students from long-standing Kuwaiti families and those in newer expatriate-heavy communities. The Teacher Secondary must now navigate these cultural nuances while adhering to Ministry of Education mandates that prioritize student-centered learning, collaborative projects, and inquiry-based instruction. These reforms require a significant departure from traditional lecture styles, demanding that educators invest time in training their students in problem-solving skills rather than rote memorization.</w:t>
      </w:r>
    </w:p>
    <w:bookmarkEnd w:id="21"/>
    <w:bookmarkStart w:id="22" w:name="the-impact-of-digital-transformation"/>
    <w:p>
      <w:pPr>
        <w:pStyle w:val="Heading3"/>
      </w:pPr>
      <w:r>
        <w:t xml:space="preserve">3. The Impact of Digital Transformation</w:t>
      </w:r>
    </w:p>
    <w:p>
      <w:pPr>
        <w:pStyle w:val="FirstParagraph"/>
      </w:pPr>
      <w:r>
        <w:t xml:space="preserve">The digital revolution has disproportionately impacted urban centers like</w:t>
      </w:r>
      <w:r>
        <w:t xml:space="preserve"> </w:t>
      </w:r>
      <w:r>
        <w:rPr>
          <w:bCs/>
          <w:b/>
        </w:rPr>
        <w:t xml:space="preserve">Kuwait City</w:t>
      </w:r>
      <w:r>
        <w:t xml:space="preserve">, where infrastructure supports advanced technological integration. Smart classrooms, tablets, and online learning platforms have become commonplace in secondary schools across the capital. For the Teacher Secondary, this presents both an opportunity and a challenge.</w:t>
      </w:r>
    </w:p>
    <w:p>
      <w:pPr>
        <w:pStyle w:val="BodyText"/>
      </w:pPr>
      <w:r>
        <w:t xml:space="preserve">On one hand, technology allows for personalized learning pathways and immediate access to global resources. On the other hand, it requires educators to be proficient not only in their subject matter but also in digital pedagogy. Many secondary teachers have reported feelings of inadequacy when first exposed to Learning Management Systems (LMS) such as Moodle or Google Classroom for Education. Consequently, the Ministry has invested heavily in professional development programs specifically targeting Teacher Secondary professionals to ensure they can leverage technology effectively without losing the human element of teaching.</w:t>
      </w:r>
    </w:p>
    <w:p>
      <w:pPr>
        <w:pStyle w:val="BodyText"/>
      </w:pPr>
      <w:r>
        <w:t xml:space="preserve">Furthermore, the pandemic accelerated this digital adoption. Students in</w:t>
      </w:r>
      <w:r>
        <w:t xml:space="preserve"> </w:t>
      </w:r>
      <w:r>
        <w:rPr>
          <w:bCs/>
          <w:b/>
        </w:rPr>
        <w:t xml:space="preserve">Kuwait City</w:t>
      </w:r>
      <w:r>
        <w:t xml:space="preserve"> </w:t>
      </w:r>
      <w:r>
        <w:t xml:space="preserve">experienced unprecedented shifts to remote learning, highlighting disparities in access and support systems. This crisis underscored the resilience required of secondary teachers who had to quickly adapt their lessons for virtual environments while maintaining student engagement and mental well-being.</w:t>
      </w:r>
    </w:p>
    <w:bookmarkEnd w:id="22"/>
    <w:bookmarkStart w:id="23" w:name="Xb2db2dbe652148bf3709ca547dc2cd783510350"/>
    <w:p>
      <w:pPr>
        <w:pStyle w:val="Heading3"/>
      </w:pPr>
      <w:r>
        <w:t xml:space="preserve">4. Socio-Cultural Challenges and Identity Formation</w:t>
      </w:r>
    </w:p>
    <w:p>
      <w:pPr>
        <w:pStyle w:val="FirstParagraph"/>
      </w:pPr>
      <w:r>
        <w:t xml:space="preserve">Beyond academics, Teacher Secondary in</w:t>
      </w:r>
      <w:r>
        <w:t xml:space="preserve"> </w:t>
      </w:r>
      <w:r>
        <w:rPr>
          <w:bCs/>
          <w:b/>
        </w:rPr>
        <w:t xml:space="preserve">Kuwait City</w:t>
      </w:r>
      <w:r>
        <w:t xml:space="preserve"> </w:t>
      </w:r>
      <w:r>
        <w:t xml:space="preserve">play a crucial role in the socio-cultural formation of adolescents. Kuwaiti society is deeply rooted in Islamic values and Arab traditions, yet secondary students are increasingly exposed to global media and internet culture. This creates a complex dynamic where educators must balance respect for heritage with openness to modern perspectives.</w:t>
      </w:r>
    </w:p>
    <w:p>
      <w:pPr>
        <w:pStyle w:val="BodyText"/>
      </w:pPr>
      <w:r>
        <w:t xml:space="preserve">Counseling services within high schools have become integral components of the teacher’s role. Secondary teachers often act as first responders for issues related to mental health, peer pressure, and identity crises. In</w:t>
      </w:r>
      <w:r>
        <w:t xml:space="preserve"> </w:t>
      </w:r>
      <w:r>
        <w:rPr>
          <w:bCs/>
          <w:b/>
        </w:rPr>
        <w:t xml:space="preserve">Kuwait City</w:t>
      </w:r>
      <w:r>
        <w:t xml:space="preserve">, where social media usage among youth is exceptionally high, teachers must be vigilant in identifying signs of cyberbullying or online radicalization. The ability of a Teacher Secondary to build trust with their students allows them to guide young people through these turbulent developmental years, ensuring that they become responsible citizens who are proud of their Kuwaiti identity yet equipped for global participation.</w:t>
      </w:r>
    </w:p>
    <w:bookmarkEnd w:id="23"/>
    <w:bookmarkStart w:id="24" w:name="Xc96dd7c85611f95b6d678649f5045c7843b201a"/>
    <w:p>
      <w:pPr>
        <w:pStyle w:val="Heading3"/>
      </w:pPr>
      <w:r>
        <w:t xml:space="preserve">5. Professional Development and Future Outlook</w:t>
      </w:r>
    </w:p>
    <w:p>
      <w:pPr>
        <w:pStyle w:val="FirstParagraph"/>
      </w:pPr>
      <w:r>
        <w:t xml:space="preserve">The sustainability of educational improvements relies heavily on the continuous growth of its educators. In recent years, there has been a push toward establishing teaching as a profession comparable to other high-status careers in Kuwait. Initiatives such as the National Center for Professional Educational Standards aim to standardize qualifications and provide clear career progression paths for Teacher Secondary professionals.</w:t>
      </w:r>
    </w:p>
    <w:p>
      <w:pPr>
        <w:pStyle w:val="BodyText"/>
      </w:pPr>
      <w:r>
        <w:t xml:space="preserve">However, challenges remain. There is still a perception among some segments of society that teaching is primarily a temporary step toward more prestigious roles, leading to high turnover rates in certain schools within</w:t>
      </w:r>
      <w:r>
        <w:t xml:space="preserve"> </w:t>
      </w:r>
      <w:r>
        <w:rPr>
          <w:bCs/>
          <w:b/>
        </w:rPr>
        <w:t xml:space="preserve">Kuwait City</w:t>
      </w:r>
      <w:r>
        <w:t xml:space="preserve">. Addressing this requires systemic changes including competitive salary structures, improved working conditions, and greater autonomy for teachers in curriculum design.</w:t>
      </w:r>
    </w:p>
    <w:p>
      <w:pPr>
        <w:pStyle w:val="BodyText"/>
      </w:pPr>
      <w:r>
        <w:t xml:space="preserve">Looking forward, the integration of vocational training alongside academic tracks is expected to grow. This will require secondary teachers to collaborate closely with industry partners in Kuwait’s diversifying economy. Teachers must develop interdisciplinary skills to help students understand how mathematics applies to engineering projects or how literature informs business communication.</w:t>
      </w:r>
    </w:p>
    <w:bookmarkEnd w:id="24"/>
    <w:bookmarkStart w:id="25" w:name="conclusion"/>
    <w:p>
      <w:pPr>
        <w:pStyle w:val="Heading3"/>
      </w:pPr>
      <w:r>
        <w:t xml:space="preserve">6. Conclusion</w:t>
      </w:r>
    </w:p>
    <w:p>
      <w:pPr>
        <w:pStyle w:val="FirstParagraph"/>
      </w:pPr>
      <w:r>
        <w:t xml:space="preserve">In conclusion, the role of the Teacher Secondary in</w:t>
      </w:r>
      <w:r>
        <w:t xml:space="preserve"> </w:t>
      </w:r>
      <w:r>
        <w:rPr>
          <w:bCs/>
          <w:b/>
        </w:rPr>
        <w:t xml:space="preserve">Kuwait City</w:t>
      </w:r>
      <w:r>
        <w:t xml:space="preserve"> </w:t>
      </w:r>
      <w:r>
        <w:t xml:space="preserve">is evolving from a traditional instructor to a complex facilitator of learning, mentor, and cultural guide. As Kuwait strives to meet its Vision 2035 goals for economic diversification and human development, investing in secondary education is paramount. The challenges faced by educators—ranging from digital integration to socio-cultural navigation—are significant but surmountable with adequate support.</w:t>
      </w:r>
    </w:p>
    <w:p>
      <w:pPr>
        <w:pStyle w:val="BodyText"/>
      </w:pPr>
      <w:r>
        <w:t xml:space="preserve">Policymakers, administrators, and society at large must recognize the vital contributions of Teacher Secondary professionals. By providing robust professional development opportunities, modernizing infrastructure, and respecting their autonomy in pedagogical decisions, Kuwait can ensure that its secondary schools remain centers of excellence. Ultimately, empowering these teachers is not just about improving test scores; it is about nurturing a generation of Kuwaiti youth who are innovative, resilient, and capable of leading the nation into a prosperous future.</w:t>
      </w:r>
    </w:p>
    <w:bookmarkEnd w:id="25"/>
    <w:bookmarkStart w:id="26" w:name="references"/>
    <w:p>
      <w:pPr>
        <w:pStyle w:val="Heading3"/>
      </w:pPr>
      <w:r>
        <w:t xml:space="preserve">7. References</w:t>
      </w:r>
    </w:p>
    <w:p>
      <w:pPr>
        <w:numPr>
          <w:ilvl w:val="0"/>
          <w:numId w:val="1001"/>
        </w:numPr>
        <w:pStyle w:val="Compact"/>
      </w:pPr>
      <w:r>
        <w:t xml:space="preserve">Kuwait Vision 2035: Economic Diversification Plan. (2019). State of Kuwait.</w:t>
      </w:r>
    </w:p>
    <w:p>
      <w:pPr>
        <w:numPr>
          <w:ilvl w:val="0"/>
          <w:numId w:val="1001"/>
        </w:numPr>
        <w:pStyle w:val="Compact"/>
      </w:pPr>
      <w:r>
        <w:t xml:space="preserve">National Center for Professional Educational Standards (NCPES). (2021). Teacher Competency Framework. Ministry of Education, Kuwait.</w:t>
      </w:r>
    </w:p>
    <w:p>
      <w:pPr>
        <w:numPr>
          <w:ilvl w:val="0"/>
          <w:numId w:val="1001"/>
        </w:numPr>
        <w:pStyle w:val="Compact"/>
      </w:pPr>
      <w:r>
        <w:t xml:space="preserve">Al-Awadhi, S., &amp; Al-Harbi, N. (2022). "Digital Pedagogy in Urban Gulf Classrooms: A Case Study of Kuwait City Schools." Journal of Middle East Educational Research.</w:t>
      </w:r>
    </w:p>
    <w:p>
      <w:pPr>
        <w:numPr>
          <w:ilvl w:val="0"/>
          <w:numId w:val="1001"/>
        </w:numPr>
        <w:pStyle w:val="Compact"/>
      </w:pPr>
      <w:r>
        <w:t xml:space="preserve">Gulf Cooperation Council Education Reports. (2023). Secondary Education Trends and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Secondary Education in Kuwait</dc:title>
  <dc:creator/>
  <dc:language>en</dc:language>
  <cp:keywords/>
  <dcterms:created xsi:type="dcterms:W3CDTF">2026-07-29T21:29:15Z</dcterms:created>
  <dcterms:modified xsi:type="dcterms:W3CDTF">2026-07-29T21:29:15Z</dcterms:modified>
</cp:coreProperties>
</file>

<file path=docProps/custom.xml><?xml version="1.0" encoding="utf-8"?>
<Properties xmlns="http://schemas.openxmlformats.org/officeDocument/2006/custom-properties" xmlns:vt="http://schemas.openxmlformats.org/officeDocument/2006/docPropsVTypes"/>
</file>