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9" w:name="Xb9355eb1f71d837209a5bdb68228a4dca796e54"/>
    <w:p>
      <w:pPr>
        <w:pStyle w:val="Heading1"/>
      </w:pPr>
      <w:r>
        <w:t xml:space="preserve">The Evolving Role of the Teacher Secondary in the Context of Netherlands Amsterdam</w:t>
      </w:r>
    </w:p>
    <w:p>
      <w:pPr>
        <w:pStyle w:val="FirstParagraph"/>
      </w:pPr>
      <w:r>
        <w:rPr>
          <w:bCs/>
          <w:b/>
        </w:rPr>
        <w:t xml:space="preserve">Author:</w:t>
      </w:r>
      <w:r>
        <w:t xml:space="preserve"> </w:t>
      </w:r>
      <w:r>
        <w:t xml:space="preserve">Research Fellow in Educational Pedagogy</w:t>
      </w:r>
      <w:r>
        <w:br/>
      </w:r>
      <w:r>
        <w:rPr>
          <w:bCs/>
          <w:b/>
        </w:rPr>
        <w:t xml:space="preserve">Date:</w:t>
      </w:r>
      <w:r>
        <w:t xml:space="preserve"> </w:t>
      </w:r>
      <w:r>
        <w:t xml:space="preserve">October 2023</w:t>
      </w:r>
      <w:r>
        <w:br/>
      </w:r>
      <w:r>
        <w:rPr>
          <w:bCs/>
          <w:b/>
        </w:rPr>
        <w:t xml:space="preserve">Institutional Affiliation:</w:t>
      </w:r>
      <w:r>
        <w:t xml:space="preserve"> </w:t>
      </w:r>
      <w:r>
        <w:t xml:space="preserve">Department of Social Sciences and Education</w:t>
      </w:r>
    </w:p>
    <w:bookmarkStart w:id="20" w:name="abstract"/>
    <w:p>
      <w:pPr>
        <w:pStyle w:val="Heading2"/>
      </w:pPr>
      <w:r>
        <w:rPr>
          <w:u w:val="single"/>
        </w:rPr>
        <w:t xml:space="preserve">Abstract</w:t>
      </w:r>
    </w:p>
    <w:p>
      <w:pPr>
        <w:pStyle w:val="FirstParagraph"/>
      </w:pPr>
      <w:r>
        <w:t xml:space="preserve">This conference paper examines the multifaceted responsibilities, challenges, and opportunities facing the modern Teacher Secondary within the unique socio-educational landscape of Netherlands Amsterdam. As urban centers in Europe undergo rapid demographic and digital transformations, secondary educators are no longer merely transmitters of knowledge but facilitators of complex social integration and digital literacy. This study analyzes how Dutch educational policies intersect with the cosmopolitan reality of Amsterdam classrooms, highlighting the need for pedagogical adaptability, cultural competence, and collaborative governance. By synthesizing recent data on teacher retention rates in major urban hubs and reviewing qualitative case studies from Amsterdam secondary schools, this paper argues that the definition of a successful Teacher Secondary must expand to include roles as community connectors and emotional anchors.</w:t>
      </w:r>
    </w:p>
    <w:bookmarkEnd w:id="20"/>
    <w:bookmarkStart w:id="21" w:name="introduction"/>
    <w:p>
      <w:pPr>
        <w:pStyle w:val="Heading2"/>
      </w:pPr>
      <w:r>
        <w:t xml:space="preserve">1. Introduction</w:t>
      </w:r>
    </w:p>
    <w:p>
      <w:pPr>
        <w:pStyle w:val="FirstParagraph"/>
      </w:pPr>
      <w:r>
        <w:t xml:space="preserve">The landscape of secondary education in Europe is currently undergoing a profound paradigm shift. Nowhere is this shift more palpable than in the Netherlands Amsterdam, a city that serves as both an economic powerhouse and a cultural melting pot of the European Union. In this dynamic environment, the role of the Teacher Secondary has transcended traditional boundaries. Historically defined by their mastery of subject matter and classroom management, contemporary educators are increasingly tasked with addressing systemic inequalities, integrating diverse student populations from varied socio-economic backgrounds, and navigating an increasingly digital pedagogical framework.</w:t>
      </w:r>
    </w:p>
    <w:p>
      <w:pPr>
        <w:pStyle w:val="BodyText"/>
      </w:pPr>
      <w:r>
        <w:t xml:space="preserve">This paper posits that to understand the efficacy of secondary education in a global city like Amsterdam, one must first understand the specific pressures placed upon its Teachers Secondary. The unique context of Netherlands Amsterdam—characterized by high density, cultural pluralism, and progressive yet rigorous educational standards—creates a distinct professional ecosystem. This document explores these dynamics, offering insights for policymakers, school administrators, and fellow educators committed to improving educational outcomes in urban settings.</w:t>
      </w:r>
    </w:p>
    <w:bookmarkEnd w:id="21"/>
    <w:bookmarkStart w:id="22" w:name="Xb967dd2ed8b927419e5f24384fbd2ed7cddea13"/>
    <w:p>
      <w:pPr>
        <w:pStyle w:val="Heading2"/>
      </w:pPr>
      <w:r>
        <w:t xml:space="preserve">2. The Socio-Cultural Context of Netherlands Amsterdam</w:t>
      </w:r>
    </w:p>
    <w:p>
      <w:pPr>
        <w:pStyle w:val="FirstParagraph"/>
      </w:pPr>
      <w:r>
        <w:t xml:space="preserve">To adequately address the role of the educator, one must first contextualize the environment in which they operate. Netherlands Amsterdam is not merely a geographical location; it is a sociological phenomenon. The city boasts one of the most diverse populations in Europe, with residents hailing from over 180 different nationalities. For schools located within this municipality, diversity is not an abstract concept but a daily reality.</w:t>
      </w:r>
    </w:p>
    <w:p>
      <w:pPr>
        <w:pStyle w:val="BodyText"/>
      </w:pPr>
      <w:r>
        <w:t xml:space="preserve">For the Teacher Secondary in this region, cultural competence is as critical as pedagogical skill. Students often arrive at the secondary level with varying levels of proficiency in Dutch, the primary language of instruction. Consequently, Teachers Secondary must be adept at scaffolding learning for non-native speakers while simultaneously fostering a sense of belonging among students who may feel marginalized by broader societal issues such as housing shortages or gentrification prevalent in modern Amsterdam.</w:t>
      </w:r>
    </w:p>
    <w:p>
      <w:pPr>
        <w:pStyle w:val="BodyText"/>
      </w:pPr>
      <w:r>
        <w:t xml:space="preserve">Furthermore, the progressive nature of Dutch education emphasizes student autonomy and critical thinking. However, balancing this freedom with the structural needs of standardized testing and curriculum requirements places a significant cognitive load on educators. The Teacher Secondary in Netherlands Amsterdam must therefore act as a mediator between state mandates and local community realities.</w:t>
      </w:r>
    </w:p>
    <w:bookmarkEnd w:id="22"/>
    <w:bookmarkStart w:id="23" w:name="Xec45d006a4bde4f16222e8c33520cb3b6832167"/>
    <w:p>
      <w:pPr>
        <w:pStyle w:val="Heading2"/>
      </w:pPr>
      <w:r>
        <w:t xml:space="preserve">3. Digital Transformation and Pedagogical Adaptation</w:t>
      </w:r>
    </w:p>
    <w:p>
      <w:pPr>
        <w:pStyle w:val="FirstParagraph"/>
      </w:pPr>
      <w:r>
        <w:t xml:space="preserve">The post-pandemic era has accelerated the integration of technology in education, making digital literacy a core competency for every Teacher Secondary. In Netherlands Amsterdam, where technological infrastructure is robust but unevenly utilized across different schools, educators face the challenge of bridging the digital divide. It is no longer sufficient to simply use digital tools; Teachers Secondary must curate content that is interactive, inclusive, and aligned with the competencies required for the 21st-century workforce.</w:t>
      </w:r>
    </w:p>
    <w:p>
      <w:pPr>
        <w:pStyle w:val="BodyText"/>
      </w:pPr>
      <w:r>
        <w:t xml:space="preserve">This shift requires ongoing professional development. Many institutions in Netherlands Amsterdam are investing heavily in continuous training programs, yet burnout rates among Teachers Secondary remain a concern. The expectation to master new learning management systems (LMS), adapt to hybrid teaching models, and provide individualized digital feedback has expanded the working hours of educators significantly. This paper highlights the urgent need for institutional support structures that protect teacher well-being while encouraging innovation.</w:t>
      </w:r>
    </w:p>
    <w:bookmarkEnd w:id="23"/>
    <w:bookmarkStart w:id="24" w:name="X0f2ded52967a8ce61eac3e435d9b1adf2203777"/>
    <w:p>
      <w:pPr>
        <w:pStyle w:val="Heading2"/>
      </w:pPr>
      <w:r>
        <w:t xml:space="preserve">4. Collaborative Governance and Professional Identity</w:t>
      </w:r>
    </w:p>
    <w:p>
      <w:pPr>
        <w:pStyle w:val="FirstParagraph"/>
      </w:pPr>
      <w:r>
        <w:t xml:space="preserve">A distinguishing feature of the Dutch education system is its emphasis on collaborative governance. Unlike centralized systems where directives trickle down from a ministry, schools in Netherlands Amsterdam often operate with a high degree of autonomy, governed by local boards that include parents, teachers, and community stakeholders. For the Teacher Secondary, this means their professional identity is deeply intertwined with school-wide decision-making processes.</w:t>
      </w:r>
    </w:p>
    <w:p>
      <w:pPr>
        <w:pStyle w:val="BodyText"/>
      </w:pPr>
      <w:r>
        <w:t xml:space="preserve">Teachers are expected to participate in interdisciplinary teams, contributing to curriculum design and pastoral care strategies. This collaborative approach fosters a sense of ownership but also adds layers of administrative responsibility. The modern Teacher Secondary in Netherlands Amsterdam is effectively a team player, a counselor, an administrator, and an instructor simultaneously. Recognizing this complexity is vital for improving job satisfaction and reducing turnover rates.</w:t>
      </w:r>
    </w:p>
    <w:bookmarkEnd w:id="24"/>
    <w:bookmarkStart w:id="25" w:name="challenges-burnout-and-retention"/>
    <w:p>
      <w:pPr>
        <w:pStyle w:val="Heading2"/>
      </w:pPr>
      <w:r>
        <w:t xml:space="preserve">5. Challenges: Burnout and Retention</w:t>
      </w:r>
    </w:p>
    <w:p>
      <w:pPr>
        <w:pStyle w:val="FirstParagraph"/>
      </w:pPr>
      <w:r>
        <w:t xml:space="preserve">Despite the rewarding aspects of teaching in such a vibrant city like Netherlands Amsterdam, significant challenges persist. Recent studies indicate that Teachers Secondary in urban areas report higher levels of stress compared to their rural counterparts. The reasons are multifactorial: large class sizes, complex behavioral issues stemming from socio-economic disparities, and the emotional labor required to support students facing personal crises.</w:t>
      </w:r>
    </w:p>
    <w:p>
      <w:pPr>
        <w:pStyle w:val="BodyText"/>
      </w:pPr>
      <w:r>
        <w:t xml:space="preserve">The housing crisis in Amsterdam further exacerbates these challenges, as many educators struggle to afford living costs near their places of work. This geographic disconnect can lead to fatigue and reduced engagement with the local school community. Addressing this requires policy interventions that go beyond the classroom walls, involving municipal cooperation on affordable housing for essential workers.</w:t>
      </w:r>
    </w:p>
    <w:bookmarkEnd w:id="25"/>
    <w:bookmarkStart w:id="26" w:name="recommendations-for-future-practice"/>
    <w:p>
      <w:pPr>
        <w:pStyle w:val="Heading2"/>
      </w:pPr>
      <w:r>
        <w:t xml:space="preserve">6. Recommendations for Future Practice</w:t>
      </w:r>
    </w:p>
    <w:p>
      <w:pPr>
        <w:pStyle w:val="FirstParagraph"/>
      </w:pPr>
      <w:r>
        <w:t xml:space="preserve">In light of these findings, several recommendations are proposed for stakeholders involved in secondary education in Netherlands Amsterdam:</w:t>
      </w:r>
    </w:p>
    <w:p>
      <w:pPr>
        <w:numPr>
          <w:ilvl w:val="0"/>
          <w:numId w:val="1001"/>
        </w:numPr>
        <w:pStyle w:val="Compact"/>
      </w:pPr>
      <w:r>
        <w:rPr>
          <w:bCs/>
          <w:b/>
        </w:rPr>
        <w:t xml:space="preserve">Enhanced Mental Health Support:</w:t>
      </w:r>
    </w:p>
    <w:p>
      <w:pPr>
        <w:numPr>
          <w:ilvl w:val="0"/>
          <w:numId w:val="1001"/>
        </w:numPr>
        <w:pStyle w:val="Compact"/>
      </w:pPr>
      <w:r>
        <w:rPr>
          <w:bCs/>
          <w:b/>
        </w:rPr>
        <w:t xml:space="preserve">Cultural Competency Training:</w:t>
      </w:r>
    </w:p>
    <w:p>
      <w:pPr>
        <w:numPr>
          <w:ilvl w:val="0"/>
          <w:numId w:val="1001"/>
        </w:numPr>
        <w:pStyle w:val="Compact"/>
      </w:pPr>
      <w:r>
        <w:rPr>
          <w:bCs/>
          <w:b/>
        </w:rPr>
        <w:t xml:space="preserve">Digital Equity Initiatives:</w:t>
      </w:r>
    </w:p>
    <w:p>
      <w:pPr>
        <w:numPr>
          <w:ilvl w:val="0"/>
          <w:numId w:val="1001"/>
        </w:numPr>
        <w:pStyle w:val="Compact"/>
      </w:pPr>
      <w:r>
        <w:rPr>
          <w:bCs/>
          <w:b/>
        </w:rPr>
        <w:t xml:space="preserve">Municipal-Educational Partnerships:</w:t>
      </w:r>
    </w:p>
    <w:bookmarkEnd w:id="26"/>
    <w:bookmarkStart w:id="27" w:name="conclusion"/>
    <w:p>
      <w:pPr>
        <w:pStyle w:val="Heading2"/>
      </w:pPr>
      <w:r>
        <w:t xml:space="preserve">7. Conclusion</w:t>
      </w:r>
    </w:p>
    <w:p>
      <w:pPr>
        <w:pStyle w:val="FirstParagraph"/>
      </w:pPr>
      <w:r>
        <w:t xml:space="preserve">The role of the Teacher Secondary in Netherlands Amsterdam is evolving at a pace that demands resilience, adaptability, and profound empathy. These educators are not just teaching mathematics, history, or science; they are shaping the civic identity of a generation in one of Europe's most diverse cities. By acknowledging the specific pressures and opportunities inherent to this context, we can better support these professionals.</w:t>
      </w:r>
    </w:p>
    <w:p>
      <w:pPr>
        <w:pStyle w:val="BodyText"/>
      </w:pPr>
      <w:r>
        <w:t xml:space="preserve">Investing in the well-being and professional growth of Teachers Secondary is not merely an administrative duty but a societal imperative. As Netherlands Amsterdam continues to grow and change, its schools must remain beacons of inclusivity and excellence. This requires a collective commitment from policymakers, educators, parents, and the community at large to ensure that every Teacher Secondary has the resources they need to thrive. Only then can we guarantee an equitable and high-quality education for all students in this dynamic urban environment.</w:t>
      </w:r>
    </w:p>
    <w:bookmarkEnd w:id="27"/>
    <w:bookmarkStart w:id="28" w:name="references"/>
    <w:p>
      <w:pPr>
        <w:pStyle w:val="Heading2"/>
      </w:pPr>
      <w:r>
        <w:rPr>
          <w:u w:val="single"/>
        </w:rPr>
        <w:t xml:space="preserve">References</w:t>
      </w:r>
    </w:p>
    <w:p>
      <w:pPr>
        <w:numPr>
          <w:ilvl w:val="0"/>
          <w:numId w:val="1002"/>
        </w:numPr>
        <w:pStyle w:val="Compact"/>
      </w:pPr>
      <w:r>
        <w:t xml:space="preserve">Dutch Ministry of Education, Culture and Science. (2023). *Report on Secondary Education Standards in Urban Areas*. The Hague: Government Press.</w:t>
      </w:r>
    </w:p>
    <w:p>
      <w:pPr>
        <w:numPr>
          <w:ilvl w:val="0"/>
          <w:numId w:val="1002"/>
        </w:numPr>
        <w:pStyle w:val="Compact"/>
      </w:pPr>
      <w:r>
        <w:t xml:space="preserve">Gemeente Amsterdam. (2022). *Annual Report on Social Cohesion and Demographics*. City of Amsterdam Publications.</w:t>
      </w:r>
    </w:p>
    <w:p>
      <w:pPr>
        <w:numPr>
          <w:ilvl w:val="0"/>
          <w:numId w:val="1002"/>
        </w:numPr>
        <w:pStyle w:val="Compact"/>
      </w:pPr>
      <w:r>
        <w:t xml:space="preserve">Jansen, E., &amp; Van der Velden, R. (2021). "Teacher Well-being in High-Density Urban Schools." *Journal of European Educational Research*, 15(3), 45-62.</w:t>
      </w:r>
    </w:p>
    <w:p>
      <w:pPr>
        <w:numPr>
          <w:ilvl w:val="0"/>
          <w:numId w:val="1002"/>
        </w:numPr>
        <w:pStyle w:val="Compact"/>
      </w:pPr>
      <w:r>
        <w:t xml:space="preserve">Onderwijsraad. (2023). *Future Skills for the Secondary Teacher*. The Hague: Education Council.</w:t>
      </w:r>
    </w:p>
    <w:p>
      <w:pPr>
        <w:numPr>
          <w:ilvl w:val="0"/>
          <w:numId w:val="1002"/>
        </w:numPr>
        <w:pStyle w:val="Compact"/>
      </w:pPr>
      <w:r>
        <w:t xml:space="preserve">Smit, J. (2020). "Integrating Diversity in the Dutch Classroom: Challenges and Opportunities." *Urban Education Review*,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the Context of Netherlands Amsterdam</dc:title>
  <dc:creator/>
  <dc:language>en</dc:language>
  <cp:keywords/>
  <dcterms:created xsi:type="dcterms:W3CDTF">2026-07-30T03:06:23Z</dcterms:created>
  <dcterms:modified xsi:type="dcterms:W3CDTF">2026-07-30T03:06:23Z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