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Secondary</w:t>
      </w:r>
      <w:r>
        <w:t xml:space="preserve"> </w:t>
      </w:r>
      <w:r>
        <w:t xml:space="preserve">Education</w:t>
      </w:r>
      <w:r>
        <w:t xml:space="preserve"> </w:t>
      </w:r>
      <w:r>
        <w:t xml:space="preserve">in</w:t>
      </w:r>
      <w:r>
        <w:t xml:space="preserve"> </w:t>
      </w:r>
      <w:r>
        <w:t xml:space="preserve">Auckland</w:t>
      </w:r>
    </w:p>
    <w:bookmarkStart w:id="32" w:name="X50eb0bd0778c2a0cc8994919b8641dfa0da10cd"/>
    <w:p>
      <w:pPr>
        <w:pStyle w:val="Heading1"/>
      </w:pPr>
      <w:r>
        <w:t xml:space="preserve">Redefining the Role of the Teacher Secondary in Modern Educational Landscapes</w:t>
      </w:r>
    </w:p>
    <w:p>
      <w:pPr>
        <w:pStyle w:val="FirstParagraph"/>
      </w:pPr>
      <w:r>
        <w:rPr>
          <w:bCs/>
          <w:b/>
        </w:rPr>
        <w:t xml:space="preserve">A Focus on New Zealand Auckland Contexts</w:t>
      </w:r>
    </w:p>
    <w:p>
      <w:pPr>
        <w:pStyle w:val="BodyText"/>
      </w:pPr>
      <w:r>
        <w:rPr>
          <w:iCs/>
          <w:i/>
        </w:rPr>
        <w:t xml:space="preserve">Preliminary Submission for the International Symposium on Pedagogy and Regional Development</w:t>
      </w:r>
    </w:p>
    <w:bookmarkStart w:id="20" w:name="abstract"/>
    <w:p>
      <w:pPr>
        <w:pStyle w:val="Heading2"/>
      </w:pPr>
      <w:r>
        <w:t xml:space="preserve">Abstract</w:t>
      </w:r>
    </w:p>
    <w:p>
      <w:pPr>
        <w:pStyle w:val="FirstParagraph"/>
      </w:pPr>
      <w:r>
        <w:t xml:space="preserve">This paper examines the evolving responsibilities, challenges, and opportunities faced by a Teacher Secondary within the unique socio-educational framework of New Zealand Auckland. As urban centers expand and demographic shifts occur, the role of secondary educators in Auckland transcends traditional instruction. This study explores how cultural responsiveness, digital integration, and community engagement are reshaping professional practices. By analyzing current data and theoretical frameworks relevant to New Zealand educational policies, this paper argues that a modern Teacher Secondary must act as a facilitator of holistic student development, bridging the gap between academic rigor and societal relevance in one of the Pacific’s most dynamic cities.</w:t>
      </w:r>
    </w:p>
    <w:bookmarkEnd w:id="20"/>
    <w:bookmarkStart w:id="21" w:name="introduction"/>
    <w:p>
      <w:pPr>
        <w:pStyle w:val="Heading2"/>
      </w:pPr>
      <w:r>
        <w:t xml:space="preserve">1. Introduction</w:t>
      </w:r>
    </w:p>
    <w:p>
      <w:pPr>
        <w:pStyle w:val="FirstParagraph"/>
      </w:pPr>
      <w:r>
        <w:t xml:space="preserve">The landscape of secondary education is undergoing a profound transformation. Nowhere is this more evident than in New Zealand Auckland, a city characterized by rapid urbanization, diverse cultural demographics, and a strong commitment to educational equity. Within this context, the definition of what constitutes effective teaching has expanded significantly. Historically focused on content delivery and classroom management, the role of education professionals today demands a multifaceted approach that integrates pedagogical expertise with social awareness.</w:t>
      </w:r>
    </w:p>
    <w:p>
      <w:pPr>
        <w:pStyle w:val="BodyText"/>
      </w:pPr>
      <w:r>
        <w:t xml:space="preserve">In New Zealand Auckland, schools serve as microcosms of broader societal issues. The diversity of the student population requires educators to navigate complex cultural landscapes while adhering to national standards such as the New Zealand Curriculum and Te Whāriki principles where applicable in junior secondary levels. This paper aims to dissect these layers, providing a comprehensive overview of how a Teacher Secondary operates within this specific geographic and cultural milieu. It posits that success in this environment is not merely measured by standardized test scores but by the ability to foster inclusive, resilient, and culturally grounded learners.</w:t>
      </w:r>
    </w:p>
    <w:bookmarkEnd w:id="21"/>
    <w:bookmarkStart w:id="24" w:name="X05b6bb110e1c68a01f7ec6296ce3c717d0bb508"/>
    <w:p>
      <w:pPr>
        <w:pStyle w:val="Heading2"/>
      </w:pPr>
      <w:r>
        <w:t xml:space="preserve">2. The Cultural Context: Te Tiriti o Waitangi and Auckland’s Diversity</w:t>
      </w:r>
    </w:p>
    <w:p>
      <w:pPr>
        <w:pStyle w:val="FirstParagraph"/>
      </w:pPr>
      <w:r>
        <w:t xml:space="preserve">To understand the role of a Teacher Secondary in New Zealand Auckland, one must first acknowledge the foundational document of the nation: Te Tiriti o Waitangi (The Treaty of Waitangi). In Auckland, where indigenous Māori and Pasifika communities constitute significant portions of the population, cultural responsiveness is not optional; it is imperative.</w:t>
      </w:r>
    </w:p>
    <w:bookmarkStart w:id="22" w:name="integrating-tikanga-māori"/>
    <w:p>
      <w:pPr>
        <w:pStyle w:val="Heading3"/>
      </w:pPr>
      <w:r>
        <w:t xml:space="preserve">2.1 Integrating Tikanga Māori</w:t>
      </w:r>
    </w:p>
    <w:p>
      <w:pPr>
        <w:pStyle w:val="FirstParagraph"/>
      </w:pPr>
      <w:r>
        <w:t xml:space="preserve">A Teacher Secondary must actively integrate Tikanga (customs) and Te Reo Māori (the language) into the curriculum. This goes beyond tokenistic gestures; it requires a deep understanding of worldviews that prioritize collective well-being over individual achievement. In Auckland classrooms, this translates to pedagogies that value collaborative learning, respect for elders, and connection to whenua (land). Educators are tasked with creating environments where Māori students can see their identity reflected and valued in academic settings.</w:t>
      </w:r>
    </w:p>
    <w:bookmarkEnd w:id="22"/>
    <w:bookmarkStart w:id="23" w:name="pasifika-perspectives"/>
    <w:p>
      <w:pPr>
        <w:pStyle w:val="Heading3"/>
      </w:pPr>
      <w:r>
        <w:t xml:space="preserve">2.2 Pasifika Perspectives</w:t>
      </w:r>
    </w:p>
    <w:p>
      <w:pPr>
        <w:pStyle w:val="FirstParagraph"/>
      </w:pPr>
      <w:r>
        <w:t xml:space="preserve">Auckland is home to the largest concentration of Pacific peoples in the world. Consequently, a Teacher Secondary must also be adept at engaging with Pasifika values such as 'aiga' (family) and respect for hierarchy. Successful engagement involves building strong relationships with families and communities, recognizing that education is a collective endeavor rather than an individual pursuit.</w:t>
      </w:r>
    </w:p>
    <w:bookmarkEnd w:id="23"/>
    <w:bookmarkEnd w:id="24"/>
    <w:bookmarkStart w:id="27" w:name="X2081421372532ea23bedcfb75329bcd6eb0e8ee"/>
    <w:p>
      <w:pPr>
        <w:pStyle w:val="Heading2"/>
      </w:pPr>
      <w:r>
        <w:t xml:space="preserve">3. Pedagogical Shifts: From Instruction to Facilitation</w:t>
      </w:r>
    </w:p>
    <w:p>
      <w:pPr>
        <w:pStyle w:val="FirstParagraph"/>
      </w:pPr>
      <w:r>
        <w:t xml:space="preserve">The traditional model of the 'sage on the stage' is increasingly obsolete. In New Zealand Auckland, where information accessibility is ubiquitous due to high digital penetration, the role of a Teacher Secondary has shifted toward that of a facilitator and guide.</w:t>
      </w:r>
    </w:p>
    <w:bookmarkStart w:id="25" w:name="digital-literacy-and-integration"/>
    <w:p>
      <w:pPr>
        <w:pStyle w:val="Heading3"/>
      </w:pPr>
      <w:r>
        <w:t xml:space="preserve">3.1 Digital Literacy and Integration</w:t>
      </w:r>
    </w:p>
    <w:p>
      <w:pPr>
        <w:pStyle w:val="FirstParagraph"/>
      </w:pPr>
      <w:r>
        <w:t xml:space="preserve">Auckland schools are often at the forefront of technological integration. A modern Teacher Secondary must possess robust digital literacy skills, not only to manage online learning platforms but to teach students how to critically evaluate digital information. The challenge lies in balancing screen time with interpersonal skill development, ensuring that technology serves as a tool for connection rather than isolation.</w:t>
      </w:r>
    </w:p>
    <w:bookmarkEnd w:id="25"/>
    <w:bookmarkStart w:id="26" w:name="inquiry-based-learning"/>
    <w:p>
      <w:pPr>
        <w:pStyle w:val="Heading3"/>
      </w:pPr>
      <w:r>
        <w:t xml:space="preserve">3.2 Inquiry-Based Learning</w:t>
      </w:r>
    </w:p>
    <w:p>
      <w:pPr>
        <w:pStyle w:val="FirstParagraph"/>
      </w:pPr>
      <w:r>
        <w:t xml:space="preserve">The New Zealand Curriculum encourages inquiry-based learning, which requires teachers to step back and allow students to drive their own investigations. In an Auckland context, this might involve project-based learning related to local environmental issues, urban planning challenges, or social justice topics relevant to the community. This approach fosters critical thinking and prepares students for real-world problem solving.</w:t>
      </w:r>
    </w:p>
    <w:bookmarkEnd w:id="26"/>
    <w:bookmarkEnd w:id="27"/>
    <w:bookmarkStart w:id="28" w:name="challenges-facing-educators-in-auckland"/>
    <w:p>
      <w:pPr>
        <w:pStyle w:val="Heading2"/>
      </w:pPr>
      <w:r>
        <w:t xml:space="preserve">4. Challenges Facing Educators in Auckland</w:t>
      </w:r>
    </w:p>
    <w:p>
      <w:pPr>
        <w:pStyle w:val="FirstParagraph"/>
      </w:pPr>
      <w:r>
        <w:t xml:space="preserve">Despite the opportunities, a Teacher Secondary in New Zealand Auckland faces significant hurdles. These include resource constraints, increasing student needs related to mental health and socio-economic disadvantage, and the pressure of high-stakes accountability measures.</w:t>
      </w:r>
    </w:p>
    <w:p>
      <w:pPr>
        <w:numPr>
          <w:ilvl w:val="0"/>
          <w:numId w:val="1001"/>
        </w:numPr>
        <w:pStyle w:val="Compact"/>
      </w:pPr>
      <w:r>
        <w:rPr>
          <w:bCs/>
          <w:b/>
        </w:rPr>
        <w:t xml:space="preserve">Socio-Economic Disparity:</w:t>
      </w:r>
      <w:r>
        <w:t xml:space="preserve"> </w:t>
      </w:r>
      <w:r>
        <w:t xml:space="preserve">Auckland exhibits stark contrasts in wealth distribution. A Teacher Secondary must be sensitive to how poverty impacts learning outcomes, providing support structures that address basic needs alongside academic instruction.</w:t>
      </w:r>
    </w:p>
    <w:p>
      <w:pPr>
        <w:numPr>
          <w:ilvl w:val="0"/>
          <w:numId w:val="1001"/>
        </w:numPr>
        <w:pStyle w:val="Compact"/>
      </w:pPr>
      <w:r>
        <w:rPr>
          <w:bCs/>
          <w:b/>
        </w:rPr>
        <w:t xml:space="preserve">Mental Health Crisis:</w:t>
      </w:r>
      <w:r>
        <w:t xml:space="preserve"> </w:t>
      </w:r>
      <w:r>
        <w:t xml:space="preserve">Post-pandemic, there has been a noticeable rise in student anxiety and depression. Educators are increasingly called upon to serve as first responders for mental health crises, requiring training and support systems that go beyond standard teaching qualifications.</w:t>
      </w:r>
    </w:p>
    <w:p>
      <w:pPr>
        <w:numPr>
          <w:ilvl w:val="0"/>
          <w:numId w:val="1001"/>
        </w:numPr>
        <w:pStyle w:val="Compact"/>
      </w:pPr>
      <w:r>
        <w:rPr>
          <w:bCs/>
          <w:b/>
        </w:rPr>
        <w:t xml:space="preserve">Teacher Retention:</w:t>
      </w:r>
      <w:r>
        <w:t xml:space="preserve"> </w:t>
      </w:r>
      <w:r>
        <w:t xml:space="preserve">Burnout remains a critical issue. The emotional labor involved in supporting diverse student populations in a high-pressure urban environment contributes to staff turnover, which destabilizes school communities.</w:t>
      </w:r>
    </w:p>
    <w:bookmarkEnd w:id="28"/>
    <w:bookmarkStart w:id="29" w:name="strategies-for-effective-practice"/>
    <w:p>
      <w:pPr>
        <w:pStyle w:val="Heading2"/>
      </w:pPr>
      <w:r>
        <w:t xml:space="preserve">5. Strategies for Effective Practice</w:t>
      </w:r>
    </w:p>
    <w:p>
      <w:pPr>
        <w:pStyle w:val="FirstParagraph"/>
      </w:pPr>
      <w:r>
        <w:t xml:space="preserve">To address these challenges, this paper proposes several strategies for Teacher Secondary professionals in New Zealand Auckland:</w:t>
      </w:r>
    </w:p>
    <w:p>
      <w:pPr>
        <w:numPr>
          <w:ilvl w:val="0"/>
          <w:numId w:val="1002"/>
        </w:numPr>
        <w:pStyle w:val="Compact"/>
      </w:pPr>
      <w:r>
        <w:rPr>
          <w:bCs/>
          <w:b/>
        </w:rPr>
        <w:t xml:space="preserve">Culturally Responsive Assessment:</w:t>
      </w:r>
      <w:r>
        <w:t xml:space="preserve"> </w:t>
      </w:r>
      <w:r>
        <w:t xml:space="preserve">Moving away from one-size-fits-all testing to diverse assessment methods that allow students to demonstrate knowledge in ways that align with their cultural strengths.</w:t>
      </w:r>
    </w:p>
    <w:p>
      <w:pPr>
        <w:numPr>
          <w:ilvl w:val="0"/>
          <w:numId w:val="1002"/>
        </w:numPr>
        <w:pStyle w:val="Compact"/>
      </w:pPr>
      <w:r>
        <w:rPr>
          <w:bCs/>
          <w:b/>
        </w:rPr>
        <w:t xml:space="preserve">Community Partnerships:</w:t>
      </w:r>
      <w:r>
        <w:t xml:space="preserve"> </w:t>
      </w:r>
      <w:r>
        <w:t xml:space="preserve">Establishing strong links with local iwi (tribes), Pasifika organizations, and community groups. These partnerships can provide additional resources and support networks for students.</w:t>
      </w:r>
    </w:p>
    <w:p>
      <w:pPr>
        <w:numPr>
          <w:ilvl w:val="0"/>
          <w:numId w:val="1002"/>
        </w:numPr>
        <w:pStyle w:val="Compact"/>
      </w:pPr>
      <w:r>
        <w:rPr>
          <w:bCs/>
          <w:b/>
        </w:rPr>
        <w:t xml:space="preserve">Professional Learning Communities (PLCs):</w:t>
      </w:r>
      <w:r>
        <w:t xml:space="preserve"> </w:t>
      </w:r>
      <w:r>
        <w:t xml:space="preserve">Engaging in ongoing collaborative professional development. PLCs allow Teacher Secondary educators to share best practices, reflect on challenges, and develop innovative solutions together.</w:t>
      </w:r>
    </w:p>
    <w:bookmarkEnd w:id="29"/>
    <w:bookmarkStart w:id="30" w:name="conclusion"/>
    <w:p>
      <w:pPr>
        <w:pStyle w:val="Heading2"/>
      </w:pPr>
      <w:r>
        <w:t xml:space="preserve">6. Conclusion</w:t>
      </w:r>
    </w:p>
    <w:p>
      <w:pPr>
        <w:pStyle w:val="FirstParagraph"/>
      </w:pPr>
      <w:r>
        <w:t xml:space="preserve">In conclusion, the role of a Teacher Secondary in New Zealand Auckland is complex and multifaceted. It requires a delicate balance of cultural competency, pedagogical innovation, and emotional resilience. As Auckland continues to evolve as a global city with deep indigenous roots, its educators must adapt to meet the needs of an increasingly diverse student body.</w:t>
      </w:r>
    </w:p>
    <w:p>
      <w:pPr>
        <w:pStyle w:val="BodyText"/>
      </w:pPr>
      <w:r>
        <w:t xml:space="preserve">Success in this context is defined not just by academic outcomes but by the ability of the Teacher Secondary to empower students to navigate their identities and futures with confidence. By embracing cultural responsiveness, leveraging technology wisely, and fostering strong community ties, educators can create transformative learning experiences that resonate far beyond the classroom walls. Future research should focus on longitudinal studies measuring the impact of these holistic approaches on student wellbeing and long-term civic engagement in New Zealand.</w:t>
      </w:r>
    </w:p>
    <w:bookmarkEnd w:id="30"/>
    <w:bookmarkStart w:id="31" w:name="references"/>
    <w:p>
      <w:pPr>
        <w:pStyle w:val="Heading2"/>
      </w:pPr>
      <w:r>
        <w:t xml:space="preserve">7. References</w:t>
      </w:r>
    </w:p>
    <w:p>
      <w:pPr>
        <w:pStyle w:val="FirstParagraph"/>
      </w:pPr>
      <w:r>
        <w:rPr>
          <w:iCs/>
          <w:i/>
        </w:rPr>
        <w:t xml:space="preserve">(Note: In a full academic submission, this section would contain detailed citations from Ministry of Education reports, peer-reviewed journals on NZ pedagogy, and statistical data from Auckland Council.)</w:t>
      </w:r>
    </w:p>
    <w:p>
      <w:pPr>
        <w:numPr>
          <w:ilvl w:val="0"/>
          <w:numId w:val="1003"/>
        </w:numPr>
        <w:pStyle w:val="Compact"/>
      </w:pPr>
      <w:r>
        <w:t xml:space="preserve">New Zealand Ministry of Education. (2017). The New Zealand Curriculum.</w:t>
      </w:r>
    </w:p>
    <w:p>
      <w:pPr>
        <w:numPr>
          <w:ilvl w:val="0"/>
          <w:numId w:val="1003"/>
        </w:numPr>
        <w:pStyle w:val="Compact"/>
      </w:pPr>
      <w:r>
        <w:t xml:space="preserve">Auckland Council. (2023). Annual Report: Social Wellbeing in the Region.</w:t>
      </w:r>
    </w:p>
    <w:p>
      <w:pPr>
        <w:numPr>
          <w:ilvl w:val="0"/>
          <w:numId w:val="1003"/>
        </w:numPr>
        <w:pStyle w:val="Compact"/>
      </w:pPr>
      <w:r>
        <w:t xml:space="preserve">Smyth, E., et al. (2019). Effective Pedagogy in Secondary Schools: A Review of Research.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Secondary Education in Auckland</dc:title>
  <dc:creator/>
  <dc:language>en</dc:language>
  <cp:keywords/>
  <dcterms:created xsi:type="dcterms:W3CDTF">2026-07-30T06:18:17Z</dcterms:created>
  <dcterms:modified xsi:type="dcterms:W3CDTF">2026-07-30T06:18:17Z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