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9402319ba9d906bbb0ec17c9e15ce91c0266f09"/>
    <w:p>
      <w:pPr>
        <w:pStyle w:val="Heading1"/>
      </w:pPr>
      <w:r>
        <w:t xml:space="preserve">Bridging Tradition and Innovation: The Role of the Teacher Secondary in Russia Saint Petersburg</w:t>
      </w:r>
    </w:p>
    <w:p>
      <w:pPr>
        <w:pStyle w:val="FirstParagraph"/>
      </w:pPr>
      <w:r>
        <w:rPr>
          <w:bCs/>
          <w:b/>
        </w:rPr>
        <w:t xml:space="preserve">Abstract:</w:t>
      </w:r>
      <w:r>
        <w:br/>
      </w:r>
      <w:r>
        <w:t xml:space="preserve">This conference paper examines the multifaceted role of the teacher secondary within the educational landscape of Russia, with a specific focus on Saint Petersburg. As a cultural and scientific capital, Saint Petersburg presents unique challenges and opportunities for secondary education. This study analyzes how teachers adapt to digital transformation, curriculum reforms in mathematics and sciences (STEM), and socio-emotional support needs amidst current geopolitical shifts. The paper argues that the modern teacher secondary in Russia is not merely an instructor of content but a critical facilitator of civic identity, digital literacy, and academic resilience.</w:t>
      </w:r>
    </w:p>
    <w:bookmarkStart w:id="20" w:name="introduction"/>
    <w:p>
      <w:pPr>
        <w:pStyle w:val="Heading2"/>
      </w:pPr>
      <w:r>
        <w:t xml:space="preserve">1. Introduction</w:t>
      </w:r>
    </w:p>
    <w:p>
      <w:pPr>
        <w:pStyle w:val="FirstParagraph"/>
      </w:pPr>
      <w:r>
        <w:t xml:space="preserve">The educational system in Russia has long been characterized by its rigorous academic standards and strong foundational emphasis on mathematics, physics, and literature. However, the 21st century has brought profound changes to pedagogical practices globally. In the specific context of Russia Saint Petersburg, these changes are exacerbated by a unique blend of historical prestige and rapid modernization. Saint Petersburg is home to some of Russia’s most prestigious universities and schools, such as the Lyceum 30 or Physics-Mathematics School No. 239, which set high benchmarks for secondary education.</w:t>
      </w:r>
    </w:p>
    <w:p>
      <w:pPr>
        <w:pStyle w:val="BodyText"/>
      </w:pPr>
      <w:r>
        <w:t xml:space="preserve">The concept of the "Teacher Secondary" in this region is evolving from a traditional transmitter of knowledge to a mentor who must navigate complex digital ecosystems, diverse student backgrounds, and shifting national educational policies. This paper aims to explore these dynamics, highlighting how teachers in Russia Saint Petersburg are redefining their professional identities. The significance of this study lies in its localized approach; while global trends affect education everywhere, the implementation of these trends is deeply influenced by local culture and administrative frameworks specific to Russia.</w:t>
      </w:r>
    </w:p>
    <w:bookmarkEnd w:id="20"/>
    <w:bookmarkStart w:id="21" w:name="X3b7527f4e49accb1c06415393fddbb984aec1c4"/>
    <w:p>
      <w:pPr>
        <w:pStyle w:val="Heading2"/>
      </w:pPr>
      <w:r>
        <w:t xml:space="preserve">2. Historical Context and Current Educational Landscape</w:t>
      </w:r>
    </w:p>
    <w:p>
      <w:pPr>
        <w:pStyle w:val="FirstParagraph"/>
      </w:pPr>
      <w:r>
        <w:t xml:space="preserve">Russia’s educational history is rooted in the Soviet era, where teachers held a revered status akin to intellectuals and moral guides. This cultural memory persists in contemporary society, influencing parental expectations of students' performance. In Russia Saint Petersburg, this expectation is particularly high due to the city's competitive university entrance processes (such as those for Saint Petersburg State University or ITMO).</w:t>
      </w:r>
    </w:p>
    <w:p>
      <w:pPr>
        <w:pStyle w:val="BodyText"/>
      </w:pPr>
      <w:r>
        <w:t xml:space="preserve">Recent federal reforms have introduced the Unified State Exam (USE) as a critical milestone for secondary school graduation and university admission. For the teacher secondary, this has meant a shift towards test-oriented pedagogy in some areas, while simultaneously being tasked with fostering creative thinking and soft skills as per new Federal State Educational Standards (FSES). The tension between exam preparation and holistic development remains a central challenge for educators.</w:t>
      </w:r>
    </w:p>
    <w:bookmarkEnd w:id="21"/>
    <w:bookmarkStart w:id="22" w:name="X0b5818679042a5d777d6fc5dc05ad0d9b936622"/>
    <w:p>
      <w:pPr>
        <w:pStyle w:val="Heading2"/>
      </w:pPr>
      <w:r>
        <w:t xml:space="preserve">3. Digital Transformation and Technological Integration</w:t>
      </w:r>
    </w:p>
    <w:p>
      <w:pPr>
        <w:pStyle w:val="FirstParagraph"/>
      </w:pPr>
      <w:r>
        <w:t xml:space="preserve">The acceleration of digitalization in Russian education, accelerated by recent global events, has placed immense pressure on the teacher secondary. In Russia Saint Petersburg, where access to technology is relatively high compared to other regions in Russia, teachers are expected to integrate multimedia resources, online platforms like MESH (Moscow Electronic School – often adapted or paralleled by regional systems in SPb), and virtual laboratory tools into their daily instruction.</w:t>
      </w:r>
    </w:p>
    <w:p>
      <w:pPr>
        <w:numPr>
          <w:ilvl w:val="0"/>
          <w:numId w:val="1001"/>
        </w:numPr>
        <w:pStyle w:val="Compact"/>
      </w:pPr>
      <w:r>
        <w:rPr>
          <w:bCs/>
          <w:b/>
        </w:rPr>
        <w:t xml:space="preserve">Digital Literacy:</w:t>
      </w:r>
      <w:r>
        <w:t xml:space="preserve"> </w:t>
      </w:r>
      <w:r>
        <w:t xml:space="preserve">Teachers must not only use technology but teach students to critically evaluate digital information, a crucial skill in the age of misinformation.</w:t>
      </w:r>
    </w:p>
    <w:p>
      <w:pPr>
        <w:numPr>
          <w:ilvl w:val="0"/>
          <w:numId w:val="1001"/>
        </w:numPr>
        <w:pStyle w:val="Compact"/>
      </w:pPr>
      <w:r>
        <w:rPr>
          <w:bCs/>
          <w:b/>
        </w:rPr>
        <w:t xml:space="preserve">E-Learning Platforms:</w:t>
      </w:r>
      <w:r>
        <w:t xml:space="preserve">The ability to manage hybrid learning environments has become a core competency for the modern teacher secondary.</w:t>
      </w:r>
    </w:p>
    <w:p>
      <w:pPr>
        <w:numPr>
          <w:ilvl w:val="0"/>
          <w:numId w:val="1001"/>
        </w:numPr>
        <w:pStyle w:val="Compact"/>
      </w:pPr>
      <w:r>
        <w:rPr>
          <w:bCs/>
          <w:b/>
        </w:rPr>
        <w:t xml:space="preserve">Bridging the Gap:</w:t>
      </w:r>
      <w:r>
        <w:t xml:space="preserve">While Saint Petersburg schools are well-equipped, teachers play a vital role in ensuring equitable access to digital resources for students from less affluent backgrounds.</w:t>
      </w:r>
    </w:p>
    <w:bookmarkEnd w:id="22"/>
    <w:bookmarkStart w:id="23" w:name="X2081421372532ea23bedcfb75329bcd6eb0e8ee"/>
    <w:p>
      <w:pPr>
        <w:pStyle w:val="Heading2"/>
      </w:pPr>
      <w:r>
        <w:t xml:space="preserve">4. Pedagogical Shifts: From Instruction to Facilitation</w:t>
      </w:r>
    </w:p>
    <w:p>
      <w:pPr>
        <w:pStyle w:val="FirstParagraph"/>
      </w:pPr>
      <w:r>
        <w:t xml:space="preserve">The traditional Russian classroom model often featured teacher-centered instruction. However, contemporary pedagogical theories promoted in Russia encourage active learning and student-centered approaches. The teacher secondary is now expected to facilitate projects, guide group discussions, and encourage independent research.</w:t>
      </w:r>
    </w:p>
    <w:p>
      <w:pPr>
        <w:pStyle w:val="BodyText"/>
      </w:pPr>
      <w:r>
        <w:t xml:space="preserve">In subjects like History and Social Studies, this shift is particularly poignant. Teachers in Russia Saint Petersburg are tasked with helping students navigate complex historical narratives while fostering critical thinking without compromising national educational standards. This requires a delicate balance of adhering to curricular requirements while encouraging intellectual curiosity and analytical depth.</w:t>
      </w:r>
    </w:p>
    <w:bookmarkEnd w:id="23"/>
    <w:bookmarkStart w:id="24" w:name="socio-emotional-support-and-well-being"/>
    <w:p>
      <w:pPr>
        <w:pStyle w:val="Heading2"/>
      </w:pPr>
      <w:r>
        <w:t xml:space="preserve">5. Socio-Emotional Support and Well-being</w:t>
      </w:r>
    </w:p>
    <w:p>
      <w:pPr>
        <w:pStyle w:val="FirstParagraph"/>
      </w:pPr>
      <w:r>
        <w:t xml:space="preserve">In the post-pandemic era, mental health awareness has become a priority in Russian schools. The teacher secondary often serves as the first point of contact for students experiencing anxiety, academic stress, or social difficulties. In Russia Saint Petersburg, where competition is intense, this role is critical.</w:t>
      </w:r>
    </w:p>
    <w:p>
      <w:pPr>
        <w:pStyle w:val="BodyText"/>
      </w:pPr>
      <w:r>
        <w:t xml:space="preserve">Schools are increasingly incorporating psychologists and social workers into the support team alongside teachers. However, the primary responsibility for creating a supportive classroom climate remains with the teacher secondary. Professional development programs in St. Petersburg now frequently include modules on emotional intelligence, conflict resolution, and recognizing signs of student distress.</w:t>
      </w:r>
    </w:p>
    <w:bookmarkEnd w:id="24"/>
    <w:bookmarkStart w:id="25" w:name="challenges-faced-by-educators"/>
    <w:p>
      <w:pPr>
        <w:pStyle w:val="Heading2"/>
      </w:pPr>
      <w:r>
        <w:t xml:space="preserve">6. Challenges Faced by Educators</w:t>
      </w:r>
    </w:p>
    <w:p>
      <w:pPr>
        <w:pStyle w:val="FirstParagraph"/>
      </w:pPr>
      <w:r>
        <w:t xml:space="preserve">Despite advancements, teachers in Russia Saint Petersburg face significant challenges:</w:t>
      </w:r>
    </w:p>
    <w:p>
      <w:pPr>
        <w:numPr>
          <w:ilvl w:val="0"/>
          <w:numId w:val="1002"/>
        </w:numPr>
        <w:pStyle w:val="Compact"/>
      </w:pPr>
      <w:r>
        <w:rPr>
          <w:bCs/>
          <w:b/>
        </w:rPr>
        <w:t xml:space="preserve">Bureaucratic Load:</w:t>
      </w:r>
      <w:r>
        <w:t xml:space="preserve">A considerable amount of time is spent on documentation, reporting, and administrative tasks that do not directly contribute to student learning.</w:t>
      </w:r>
    </w:p>
    <w:p>
      <w:pPr>
        <w:numPr>
          <w:ilvl w:val="0"/>
          <w:numId w:val="1002"/>
        </w:numPr>
        <w:pStyle w:val="Compact"/>
      </w:pPr>
      <w:r>
        <w:rPr>
          <w:bCs/>
          <w:b/>
        </w:rPr>
        <w:t xml:space="preserve">Resource Disparities:</w:t>
      </w:r>
      <w:r>
        <w:t xml:space="preserve">While Saint Petersburg is a wealthier region than many in Russia, disparities still exist between elite private schools and municipal schools.</w:t>
      </w:r>
    </w:p>
    <w:p>
      <w:pPr>
        <w:numPr>
          <w:ilvl w:val="0"/>
          <w:numId w:val="1002"/>
        </w:numPr>
        <w:pStyle w:val="Compact"/>
      </w:pPr>
      <w:r>
        <w:rPr>
          <w:bCs/>
          <w:b/>
        </w:rPr>
        <w:t xml:space="preserve">Rapid Policy Changes:</w:t>
      </w:r>
      <w:r>
        <w:t xml:space="preserve">Frequent updates to educational standards require continuous professional development, which can be taxing for educators.</w:t>
      </w:r>
    </w:p>
    <w:bookmarkEnd w:id="25"/>
    <w:bookmarkStart w:id="26" w:name="recommendations-for-support-systems"/>
    <w:p>
      <w:pPr>
        <w:pStyle w:val="Heading2"/>
      </w:pPr>
      <w:r>
        <w:t xml:space="preserve">7. Recommendations for Support Systems</w:t>
      </w:r>
    </w:p>
    <w:p>
      <w:pPr>
        <w:pStyle w:val="FirstParagraph"/>
      </w:pPr>
      <w:r>
        <w:t xml:space="preserve">To support the teacher secondary in Russia Saint Petersburg effectively, several strategies are recommended:</w:t>
      </w:r>
    </w:p>
    <w:p>
      <w:pPr>
        <w:numPr>
          <w:ilvl w:val="0"/>
          <w:numId w:val="1003"/>
        </w:numPr>
        <w:pStyle w:val="Compact"/>
      </w:pPr>
      <w:r>
        <w:rPr>
          <w:bCs/>
          <w:b/>
        </w:rPr>
        <w:t xml:space="preserve">Mentorship Programs:</w:t>
      </w:r>
      <w:r>
        <w:t xml:space="preserve">Pairsing novice teachers with experienced mentors from prestigious local schools.</w:t>
      </w:r>
    </w:p>
    <w:p>
      <w:pPr>
        <w:numPr>
          <w:ilvl w:val="0"/>
          <w:numId w:val="1003"/>
        </w:numPr>
        <w:pStyle w:val="Compact"/>
      </w:pPr>
      <w:r>
        <w:rPr>
          <w:bCs/>
          <w:b/>
        </w:rPr>
        <w:t xml:space="preserve">Digital Infrastructure Investment:</w:t>
      </w:r>
      <w:r>
        <w:t xml:space="preserve">Ensuring that all schools, not just elite ones, have up-to-date hardware and software.</w:t>
      </w:r>
    </w:p>
    <w:p>
      <w:pPr>
        <w:numPr>
          <w:ilvl w:val="0"/>
          <w:numId w:val="1003"/>
        </w:numPr>
        <w:pStyle w:val="Compact"/>
      </w:pPr>
      <w:r>
        <w:rPr>
          <w:bCs/>
          <w:b/>
        </w:rPr>
        <w:t xml:space="preserve">Bureaucracy Reduction:</w:t>
      </w:r>
      <w:r>
        <w:t xml:space="preserve">Audit and streamline reporting requirements to allow teachers more time for instruction and student interaction.</w:t>
      </w:r>
    </w:p>
    <w:p>
      <w:pPr>
        <w:numPr>
          <w:ilvl w:val="0"/>
          <w:numId w:val="1003"/>
        </w:numPr>
        <w:pStyle w:val="Compact"/>
      </w:pPr>
      <w:r>
        <w:rPr>
          <w:bCs/>
          <w:b/>
        </w:rPr>
        <w:t xml:space="preserve">Mental Health Resources:</w:t>
      </w:r>
      <w:r>
        <w:t xml:space="preserve">Expanding access to counseling services for both students and teachers.</w:t>
      </w:r>
    </w:p>
    <w:bookmarkEnd w:id="26"/>
    <w:bookmarkStart w:id="27" w:name="conclusion"/>
    <w:p>
      <w:pPr>
        <w:pStyle w:val="Heading2"/>
      </w:pPr>
      <w:r>
        <w:t xml:space="preserve">8. Conclusion</w:t>
      </w:r>
    </w:p>
    <w:p>
      <w:pPr>
        <w:pStyle w:val="FirstParagraph"/>
      </w:pPr>
      <w:r>
        <w:t xml:space="preserve">The teacher secondary in Russia Saint Petersburg stands at a crossroads of tradition and innovation. They are custodians of a rich academic heritage while being pioneers in digital and pedagogical transformation. The role has expanded beyond subject mastery to encompass mentorship, technological facilitation, and socio-emotional support.</w:t>
      </w:r>
    </w:p>
    <w:p>
      <w:pPr>
        <w:pStyle w:val="BodyText"/>
      </w:pPr>
      <w:r>
        <w:t xml:space="preserve">As Russia continues to navigate the complexities of global integration and internal development, the quality of secondary education will remain pivotal. Investing in the professional growth, well-being, and resources of teachers in Saint Petersburg is not just a local concern but a national imperative. By empowering these educators, Russia can ensure that its young generation is prepared to meet future challenges with knowledge, resilience, and creativity.</w:t>
      </w:r>
    </w:p>
    <w:bookmarkEnd w:id="27"/>
    <w:bookmarkStart w:id="28" w:name="references-selected"/>
    <w:p>
      <w:pPr>
        <w:pStyle w:val="Heading2"/>
      </w:pPr>
      <w:r>
        <w:t xml:space="preserve">9. References (Selected)</w:t>
      </w:r>
    </w:p>
    <w:p>
      <w:pPr>
        <w:pStyle w:val="FirstParagraph"/>
      </w:pPr>
      <w:r>
        <w:rPr>
          <w:iCs/>
          <w:i/>
        </w:rPr>
        <w:t xml:space="preserve">Note: In a formal conference submission, this section would contain detailed citations from academic journals such as "Russian Education &amp; Society," reports from the Ministry of Education and Science of the Russian Federation, and studies conducted by institutions like RANEPA or Saint Petersburg State University.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Teacher Secondary in Russia Saint Petersburg</dc:title>
  <dc:creator/>
  <dc:language>en</dc:language>
  <cp:keywords/>
  <dcterms:created xsi:type="dcterms:W3CDTF">2026-07-29T22:11:16Z</dcterms:created>
  <dcterms:modified xsi:type="dcterms:W3CDTF">2026-07-29T22:11:16Z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