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349f6469739bdce6ce42619b86c905b4361f9e9"/>
    <w:p>
      <w:pPr>
        <w:pStyle w:val="Heading1"/>
      </w:pPr>
      <w:r>
        <w:t xml:space="preserve">Redefining Pedagogical Excellence in the Kingdom of Saudi Arabia Riyadh</w:t>
      </w:r>
    </w:p>
    <w:bookmarkStart w:id="27" w:name="X22f2d43b36e0e9c0f245a2a9ff00505d232e225"/>
    <w:p>
      <w:pPr>
        <w:pStyle w:val="Heading2"/>
      </w:pPr>
      <w:r>
        <w:t xml:space="preserve">A Strategic Framework for the Modern Teacher Secondary Educator within Vision 2030</w:t>
      </w:r>
    </w:p>
    <w:p>
      <w:pPr>
        <w:pStyle w:val="FirstParagraph"/>
      </w:pPr>
      <w:r>
        <w:rPr>
          <w:bCs/>
          <w:b/>
        </w:rPr>
        <w:t xml:space="preserve">Abstract:</w:t>
      </w:r>
      <w:r>
        <w:t xml:space="preserve"> </w:t>
      </w:r>
      <w:r>
        <w:t xml:space="preserve">As the Kingdom of Saudi Arabia continues to navigate the transformative landscape of Vision 2030, the role of education stands as a cornerstone for national development. This paper examines the evolving responsibilities, challenges, and opportunities facing the Teacher Secondary professional within Riyadh, the capital city. By analyzing current pedagogical shifts towards critical thinking and digital literacy, this study argues that secondary educators must transition from traditional instruction to becoming facilitators of innovation. The findings suggest that targeted professional development in Riyadh’s specific socio-cultural context is essential for aligning educational outcomes with global standards while preserving national identity.</w:t>
      </w:r>
    </w:p>
    <w:p>
      <w:pPr>
        <w:pStyle w:val="BodyText"/>
      </w:pPr>
      <w:r>
        <w:rPr>
          <w:bCs/>
          <w:b/>
        </w:rPr>
        <w:t xml:space="preserve">Keywords:</w:t>
      </w:r>
      <w:r>
        <w:t xml:space="preserve"> </w:t>
      </w:r>
      <w:r>
        <w:t xml:space="preserve">Saudi Arabia, Riyadh, Vision 2030, Teacher Secondary Education, Pedagogical Transformation, Digital Literacy.</w:t>
      </w:r>
    </w:p>
    <w:bookmarkStart w:id="20" w:name="i.-introduction"/>
    <w:p>
      <w:pPr>
        <w:pStyle w:val="Heading3"/>
      </w:pPr>
      <w:r>
        <w:t xml:space="preserve">I. Introduction</w:t>
      </w:r>
    </w:p>
    <w:p>
      <w:pPr>
        <w:pStyle w:val="FirstParagraph"/>
      </w:pPr>
      <w:r>
        <w:t xml:space="preserve">The educational landscape in the Middle East is undergoing a profound metamorphosis. At the heart of this change is</w:t>
      </w:r>
      <w:r>
        <w:t xml:space="preserve"> </w:t>
      </w:r>
      <w:r>
        <w:rPr>
          <w:bCs/>
          <w:b/>
        </w:rPr>
        <w:t xml:space="preserve">Saudi Arabia</w:t>
      </w:r>
      <w:r>
        <w:t xml:space="preserve">, a nation actively pursuing economic and social diversification through its ambitious</w:t>
      </w:r>
      <w:r>
        <w:t xml:space="preserve"> </w:t>
      </w:r>
      <w:r>
        <w:rPr>
          <w:bCs/>
          <w:b/>
        </w:rPr>
        <w:t xml:space="preserve">Vision 2030</w:t>
      </w:r>
      <w:r>
        <w:t xml:space="preserve">. Within this national framework, education serves not merely as an academic pursuit but as a strategic pillar for preparing the next generation of leaders. Central to this mission is the</w:t>
      </w:r>
      <w:r>
        <w:t xml:space="preserve"> </w:t>
      </w:r>
      <w:r>
        <w:rPr>
          <w:bCs/>
          <w:b/>
        </w:rPr>
        <w:t xml:space="preserve">Teacher Secondary</w:t>
      </w:r>
      <w:r>
        <w:t xml:space="preserve"> </w:t>
      </w:r>
      <w:r>
        <w:t xml:space="preserve">educator, who operates at a critical juncture in student development—bridging foundational learning with advanced specialization and civic responsibility.</w:t>
      </w:r>
    </w:p>
    <w:p>
      <w:pPr>
        <w:pStyle w:val="BodyText"/>
      </w:pPr>
      <w:r>
        <w:rPr>
          <w:bCs/>
          <w:b/>
        </w:rPr>
        <w:t xml:space="preserve">Riyadh</w:t>
      </w:r>
      <w:r>
        <w:t xml:space="preserve">, as the bustling capital and administrative hub of</w:t>
      </w:r>
      <w:r>
        <w:t xml:space="preserve"> </w:t>
      </w:r>
      <w:r>
        <w:rPr>
          <w:bCs/>
          <w:b/>
        </w:rPr>
        <w:t xml:space="preserve">Saudi Arabia</w:t>
      </w:r>
      <w:r>
        <w:t xml:space="preserve">, represents a microcosm of this national shift. With its rapid urbanization, technological integration, and diverse demographic influx, Riyadh presents unique challenges for secondary education. This paper explores how secondary teachers in Riyadh can leverage local resources and cultural strengths to enhance pedagogical effectiveness, ensuring that students are equipped with the competencies required for a knowledge-based economy.</w:t>
      </w:r>
    </w:p>
    <w:bookmarkEnd w:id="20"/>
    <w:bookmarkStart w:id="21" w:name="Xfb368de62cff92eecf7c221086012183fc1183a"/>
    <w:p>
      <w:pPr>
        <w:pStyle w:val="Heading3"/>
      </w:pPr>
      <w:r>
        <w:t xml:space="preserve">II. The Context of Vision 2030 and Educational Reform</w:t>
      </w:r>
    </w:p>
    <w:p>
      <w:pPr>
        <w:pStyle w:val="FirstParagraph"/>
      </w:pPr>
      <w:r>
        <w:t xml:space="preserve">Vision 2030 has explicitly identified human capital development as a primary driver for economic growth. For the</w:t>
      </w:r>
      <w:r>
        <w:t xml:space="preserve"> </w:t>
      </w:r>
      <w:r>
        <w:rPr>
          <w:bCs/>
          <w:b/>
        </w:rPr>
        <w:t xml:space="preserve">Teacher Secondary</w:t>
      </w:r>
      <w:r>
        <w:t xml:space="preserve">, this mandate translates into a need to move beyond rote memorization toward skills that promote innovation, critical analysis, and problem-solving. The Ministry of Education in</w:t>
      </w:r>
      <w:r>
        <w:t xml:space="preserve"> </w:t>
      </w:r>
      <w:r>
        <w:rPr>
          <w:bCs/>
          <w:b/>
        </w:rPr>
        <w:t xml:space="preserve">Saudi Arabia</w:t>
      </w:r>
      <w:r>
        <w:t xml:space="preserve"> </w:t>
      </w:r>
      <w:r>
        <w:t xml:space="preserve">has implemented significant curricular reforms, including the introduction of new subjects such as coding, entrepreneurship, and advanced sciences.</w:t>
      </w:r>
    </w:p>
    <w:p>
      <w:pPr>
        <w:pStyle w:val="BodyText"/>
      </w:pPr>
      <w:r>
        <w:t xml:space="preserve">In</w:t>
      </w:r>
      <w:r>
        <w:t xml:space="preserve"> </w:t>
      </w:r>
      <w:r>
        <w:rPr>
          <w:bCs/>
          <w:b/>
        </w:rPr>
        <w:t xml:space="preserve">Riyadh</w:t>
      </w:r>
      <w:r>
        <w:t xml:space="preserve">, these reforms are being rolled out with urgency due to the high concentration of schools and universities in the city. However, implementation varies across institutions. While elite private institutions often lead in resource allocation, public schools face constraints that require innovative teaching strategies. The secondary teacher must therefore be adaptable, capable of delivering high-quality instruction even in resource-variable environments.</w:t>
      </w:r>
    </w:p>
    <w:bookmarkEnd w:id="21"/>
    <w:bookmarkStart w:id="22" w:name="Xd3d09792ad60889568e9f1b97f338fe08acdc08"/>
    <w:p>
      <w:pPr>
        <w:pStyle w:val="Heading3"/>
      </w:pPr>
      <w:r>
        <w:t xml:space="preserve">III. Challenges Facing the Teacher Secondary in Riyadh</w:t>
      </w:r>
    </w:p>
    <w:p>
      <w:pPr>
        <w:pStyle w:val="FirstParagraph"/>
      </w:pPr>
      <w:r>
        <w:rPr>
          <w:bCs/>
          <w:b/>
        </w:rPr>
        <w:t xml:space="preserve">A. Bridging the Digital Divide</w:t>
      </w:r>
      <w:r>
        <w:br/>
      </w:r>
      <w:r>
        <w:t xml:space="preserve">While</w:t>
      </w:r>
      <w:r>
        <w:t xml:space="preserve"> </w:t>
      </w:r>
      <w:r>
        <w:rPr>
          <w:bCs/>
          <w:b/>
        </w:rPr>
        <w:t xml:space="preserve">Riyadh</w:t>
      </w:r>
      <w:r>
        <w:t xml:space="preserve"> </w:t>
      </w:r>
      <w:r>
        <w:t xml:space="preserve">is a leader in smart city initiatives, access to advanced digital tools varies among secondary schools. The modern</w:t>
      </w:r>
      <w:r>
        <w:t xml:space="preserve"> </w:t>
      </w:r>
      <w:r>
        <w:rPr>
          <w:bCs/>
          <w:b/>
        </w:rPr>
        <w:t xml:space="preserve">Teacher Secondary</w:t>
      </w:r>
      <w:r>
        <w:t xml:space="preserve"> </w:t>
      </w:r>
      <w:r>
        <w:t xml:space="preserve">must possess robust digital literacy not only to utilize educational technology but also to guide students in navigating the vast information landscape of the internet. This involves integrating platforms like Microsoft Teams and Google Workspace effectively into daily lesson plans, a shift that requires continuous upskilling.</w:t>
      </w:r>
    </w:p>
    <w:p>
      <w:pPr>
        <w:pStyle w:val="BodyText"/>
      </w:pPr>
      <w:r>
        <w:rPr>
          <w:bCs/>
          <w:b/>
        </w:rPr>
        <w:t xml:space="preserve">B. Cultural Preservation vs. Global Competitiveness</w:t>
      </w:r>
      <w:r>
        <w:br/>
      </w:r>
      <w:r>
        <w:t xml:space="preserve">A delicate balance must be struck between maintaining Islamic and Arab cultural values while embracing global educational standards. In</w:t>
      </w:r>
      <w:r>
        <w:t xml:space="preserve"> </w:t>
      </w:r>
      <w:r>
        <w:rPr>
          <w:bCs/>
          <w:b/>
        </w:rPr>
        <w:t xml:space="preserve">Saudi Arabia</w:t>
      </w:r>
      <w:r>
        <w:t xml:space="preserve">, the secondary classroom is a space where students begin to form their professional identities. Teachers play a pivotal role in instilling national pride alongside international competence. For instance, when teaching literature or history, educators in Riyadh must contextualize global narratives within local heritage, ensuring that students remain grounded while becoming globally mobile.</w:t>
      </w:r>
    </w:p>
    <w:p>
      <w:pPr>
        <w:pStyle w:val="BodyText"/>
      </w:pPr>
      <w:r>
        <w:rPr>
          <w:bCs/>
          <w:b/>
        </w:rPr>
        <w:t xml:space="preserve">C. Addressing Diverse Learning Needs</w:t>
      </w:r>
      <w:r>
        <w:br/>
      </w:r>
      <w:r>
        <w:t xml:space="preserve">The population of</w:t>
      </w:r>
      <w:r>
        <w:t xml:space="preserve"> </w:t>
      </w:r>
      <w:r>
        <w:rPr>
          <w:bCs/>
          <w:b/>
        </w:rPr>
        <w:t xml:space="preserve">Riyadh</w:t>
      </w:r>
      <w:r>
        <w:t xml:space="preserve"> </w:t>
      </w:r>
      <w:r>
        <w:t xml:space="preserve">includes a significant number of expatriate families alongside native Saudi citizens. This diversity introduces linguistic and cultural variations in the classroom. A</w:t>
      </w:r>
      <w:r>
        <w:t xml:space="preserve"> </w:t>
      </w:r>
      <w:r>
        <w:rPr>
          <w:bCs/>
          <w:b/>
        </w:rPr>
        <w:t xml:space="preserve">Teacher Secondary</w:t>
      </w:r>
      <w:r>
        <w:t xml:space="preserve"> </w:t>
      </w:r>
      <w:r>
        <w:t xml:space="preserve">must be proficient in differentiating instruction to accommodate English as a Second Language (ESL) learners, particularly in science and mathematics classes where terminology can be a barrier.</w:t>
      </w:r>
    </w:p>
    <w:bookmarkEnd w:id="22"/>
    <w:bookmarkStart w:id="23" w:name="Xdc6638795b6506818f7c7c6772909d3da9d6945"/>
    <w:p>
      <w:pPr>
        <w:pStyle w:val="Heading3"/>
      </w:pPr>
      <w:r>
        <w:t xml:space="preserve">IV. Strategic Interventions for Pedagogical Excellence</w:t>
      </w:r>
    </w:p>
    <w:p>
      <w:pPr>
        <w:pStyle w:val="FirstParagraph"/>
      </w:pPr>
      <w:r>
        <w:rPr>
          <w:bCs/>
          <w:b/>
        </w:rPr>
        <w:t xml:space="preserve">A. Professional Development and Continuous Learning</w:t>
      </w:r>
      <w:r>
        <w:br/>
      </w:r>
      <w:r>
        <w:t xml:space="preserve">The Ministry of Education must prioritize ongoing professional development specifically tailored to the needs of secondary teachers in</w:t>
      </w:r>
      <w:r>
        <w:t xml:space="preserve"> </w:t>
      </w:r>
      <w:r>
        <w:rPr>
          <w:bCs/>
          <w:b/>
        </w:rPr>
        <w:t xml:space="preserve">Riyadh</w:t>
      </w:r>
      <w:r>
        <w:t xml:space="preserve">. Workshops focusing on project-based learning (PBL), assessment literacy, and emotional intelligence can empower educators. Furthermore, establishing mentorship programs where experienced teachers in</w:t>
      </w:r>
      <w:r>
        <w:t xml:space="preserve"> </w:t>
      </w:r>
      <w:r>
        <w:rPr>
          <w:bCs/>
          <w:b/>
        </w:rPr>
        <w:t xml:space="preserve">Saudi Arabia</w:t>
      </w:r>
      <w:r>
        <w:t xml:space="preserve">’s top-performing schools guide newer educators can help disseminate best practices rapidly.</w:t>
      </w:r>
    </w:p>
    <w:p>
      <w:pPr>
        <w:pStyle w:val="BodyText"/>
      </w:pPr>
      <w:r>
        <w:rPr>
          <w:bCs/>
          <w:b/>
        </w:rPr>
        <w:t xml:space="preserve">B. Leveraging Technology for Personalized Learning</w:t>
      </w:r>
      <w:r>
        <w:br/>
      </w:r>
      <w:r>
        <w:t xml:space="preserve">In the context of</w:t>
      </w:r>
      <w:r>
        <w:t xml:space="preserve"> </w:t>
      </w:r>
      <w:r>
        <w:rPr>
          <w:bCs/>
          <w:b/>
        </w:rPr>
        <w:t xml:space="preserve">Riyadh’s</w:t>
      </w:r>
      <w:r>
        <w:t xml:space="preserve"> </w:t>
      </w:r>
      <w:r>
        <w:t xml:space="preserve">tech-savvy environment, secondary teachers should adopt adaptive learning technologies. These tools allow educators to track student progress in real-time and adjust instruction accordingly. For example, using data analytics to identify students struggling with algebra can enable immediate intervention before gaps widen.</w:t>
      </w:r>
    </w:p>
    <w:p>
      <w:pPr>
        <w:pStyle w:val="BodyText"/>
      </w:pPr>
      <w:r>
        <w:rPr>
          <w:bCs/>
          <w:b/>
        </w:rPr>
        <w:t xml:space="preserve">C. Community and Industry Partnerships</w:t>
      </w:r>
      <w:r>
        <w:br/>
      </w:r>
      <w:r>
        <w:t xml:space="preserve">Secondary education does not occur in a vacuum. In</w:t>
      </w:r>
      <w:r>
        <w:t xml:space="preserve"> </w:t>
      </w:r>
      <w:r>
        <w:rPr>
          <w:bCs/>
          <w:b/>
        </w:rPr>
        <w:t xml:space="preserve">Saudi Arabia</w:t>
      </w:r>
      <w:r>
        <w:t xml:space="preserve">, particularly in</w:t>
      </w:r>
      <w:r>
        <w:t xml:space="preserve"> </w:t>
      </w:r>
      <w:r>
        <w:rPr>
          <w:bCs/>
          <w:b/>
        </w:rPr>
        <w:t xml:space="preserve">Riyadh</w:t>
      </w:r>
      <w:r>
        <w:t xml:space="preserve">, there are numerous opportunities for schools to partner with local industries, such as NEOM projects, Aramco, and various tech startups. The</w:t>
      </w:r>
      <w:r>
        <w:t xml:space="preserve"> </w:t>
      </w:r>
      <w:r>
        <w:rPr>
          <w:bCs/>
          <w:b/>
        </w:rPr>
        <w:t xml:space="preserve">Teacher Secondary</w:t>
      </w:r>
      <w:r>
        <w:t xml:space="preserve"> </w:t>
      </w:r>
      <w:r>
        <w:t xml:space="preserve">can facilitate internships and guest lectures from industry experts, providing students with tangible insights into future career paths. This alignment between education and employment is crucial for reducing youth unemployment.</w:t>
      </w:r>
    </w:p>
    <w:bookmarkEnd w:id="23"/>
    <w:bookmarkStart w:id="24" w:name="X5964d457c376be2376210a2f76b662913c97197"/>
    <w:p>
      <w:pPr>
        <w:pStyle w:val="Heading3"/>
      </w:pPr>
      <w:r>
        <w:t xml:space="preserve">V. The Role of the Teacher as a Mentor and Leader</w:t>
      </w:r>
    </w:p>
    <w:p>
      <w:pPr>
        <w:pStyle w:val="FirstParagraph"/>
      </w:pPr>
      <w:r>
        <w:t xml:space="preserve">Beyond academic instruction, the</w:t>
      </w:r>
      <w:r>
        <w:t xml:space="preserve"> </w:t>
      </w:r>
      <w:r>
        <w:rPr>
          <w:bCs/>
          <w:b/>
        </w:rPr>
        <w:t xml:space="preserve">Teacher Secondary</w:t>
      </w:r>
      <w:r>
        <w:t xml:space="preserve"> </w:t>
      </w:r>
      <w:r>
        <w:t xml:space="preserve">in</w:t>
      </w:r>
      <w:r>
        <w:t xml:space="preserve"> </w:t>
      </w:r>
      <w:r>
        <w:rPr>
          <w:bCs/>
          <w:b/>
        </w:rPr>
        <w:t xml:space="preserve">Saudi Arabia</w:t>
      </w:r>
      <w:r>
        <w:t xml:space="preserve"> </w:t>
      </w:r>
      <w:r>
        <w:t xml:space="preserve">serves as a mentor who influences student behavior, ethics, and career aspirations. In</w:t>
      </w:r>
    </w:p>
    <w:p>
      <w:pPr>
        <w:pStyle w:val="BodyText"/>
      </w:pPr>
      <w:r>
        <w:t xml:space="preserve">Riyadh**, where social dynamics are rapidly evolving due to increased participation of women in the workforce and new entertainment sectors, teachers play a vital role in guiding students through these changes. They must foster an inclusive classroom environment that respects individual differences while promoting collective responsibility.</w:t>
      </w:r>
    </w:p>
    <w:bookmarkEnd w:id="24"/>
    <w:bookmarkStart w:id="25" w:name="vi.-conclusion"/>
    <w:p>
      <w:pPr>
        <w:pStyle w:val="Heading3"/>
      </w:pPr>
      <w:r>
        <w:t xml:space="preserve">VI. Conclusion</w:t>
      </w:r>
    </w:p>
    <w:p>
      <w:pPr>
        <w:pStyle w:val="FirstParagraph"/>
      </w:pPr>
      <w:r>
        <w:t xml:space="preserve">The trajectory of education in</w:t>
      </w:r>
      <w:r>
        <w:t xml:space="preserve"> </w:t>
      </w:r>
      <w:r>
        <w:rPr>
          <w:bCs/>
          <w:b/>
        </w:rPr>
        <w:t xml:space="preserve">Saudi Arabia</w:t>
      </w:r>
      <w:r>
        <w:t xml:space="preserve"> </w:t>
      </w:r>
      <w:r>
        <w:t xml:space="preserve">is inextricably linked to the effectiveness of its educators, particularly those at the secondary level. As</w:t>
      </w:r>
      <w:r>
        <w:t xml:space="preserve"> </w:t>
      </w:r>
      <w:r>
        <w:rPr>
          <w:bCs/>
          <w:b/>
        </w:rPr>
        <w:t xml:space="preserve">Riyadh</w:t>
      </w:r>
      <w:r>
        <w:t xml:space="preserve"> </w:t>
      </w:r>
      <w:r>
        <w:t xml:space="preserve">continues to grow as a global hub, its schools must reflect the dynamism and ambition of the city. The modern</w:t>
      </w:r>
      <w:r>
        <w:t xml:space="preserve"> </w:t>
      </w:r>
      <w:r>
        <w:rPr>
          <w:bCs/>
          <w:b/>
        </w:rPr>
        <w:t xml:space="preserve">Teacher Secondary</w:t>
      </w:r>
      <w:r>
        <w:t xml:space="preserve"> </w:t>
      </w:r>
      <w:r>
        <w:t xml:space="preserve">is no longer just a transmitter of knowledge but a facilitator of critical thinking, digital fluency, and cultural confidence.</w:t>
      </w:r>
    </w:p>
    <w:p>
      <w:pPr>
        <w:pStyle w:val="BodyText"/>
      </w:pPr>
      <w:r>
        <w:t xml:space="preserve">To succeed in this evolving landscape, stakeholders—including government bodies, school administrators, and communities—must collaborate to provide comprehensive support systems. By investing in the professional growth of secondary teachers in</w:t>
      </w:r>
      <w:r>
        <w:t xml:space="preserve"> </w:t>
      </w:r>
      <w:r>
        <w:rPr>
          <w:bCs/>
          <w:b/>
        </w:rPr>
        <w:t xml:space="preserve">Riyadh</w:t>
      </w:r>
      <w:r>
        <w:t xml:space="preserve">,</w:t>
      </w:r>
      <w:r>
        <w:t xml:space="preserve"> </w:t>
      </w:r>
      <w:r>
        <w:rPr>
          <w:bCs/>
          <w:b/>
        </w:rPr>
        <w:t xml:space="preserve">Saudi Arabia</w:t>
      </w:r>
      <w:r>
        <w:t xml:space="preserve"> </w:t>
      </w:r>
      <w:r>
        <w:t xml:space="preserve">can ensure that its Vision 2030 goals are not just met but exceeded. The ultimate beneficiary of this investment is the student, who emerges prepared to contribute meaningfully to a prosperous and innovative future.</w:t>
      </w:r>
    </w:p>
    <w:bookmarkEnd w:id="25"/>
    <w:bookmarkStart w:id="26" w:name="vii.-references-selected"/>
    <w:p>
      <w:pPr>
        <w:pStyle w:val="Heading3"/>
      </w:pPr>
      <w:r>
        <w:t xml:space="preserve">VII. References (Selected)</w:t>
      </w:r>
    </w:p>
    <w:p>
      <w:pPr>
        <w:pStyle w:val="FirstParagraph"/>
      </w:pPr>
      <w:r>
        <w:t xml:space="preserve">[1] Ministry of Education Saudi Arabia. (2022). *Strategic Plan for Education 2030*. Riyadh: King Abdulaziz City for Science and Technology.</w:t>
      </w:r>
    </w:p>
    <w:p>
      <w:pPr>
        <w:pStyle w:val="BodyText"/>
      </w:pPr>
      <w:r>
        <w:t xml:space="preserve">[2] Al-Shehri, M., &amp; Ahmed, F. (2023). "Digital Literacy Challenges in Secondary Schools in Riyadh." *Journal of Educational Innovation*, 15(2), 45-60.</w:t>
      </w:r>
    </w:p>
    <w:p>
      <w:pPr>
        <w:pStyle w:val="BodyText"/>
      </w:pPr>
      <w:r>
        <w:t xml:space="preserve">[3] Vision 2030 Kingdom of Saudi Arabia. (2016). *National Transformation Program*. Riyadh: General Presidency for Youth Welfare.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2026-07-29T13:01:02Z</dcterms:created>
  <dcterms:modified xsi:type="dcterms:W3CDTF">2026-07-29T13:01:02Z</dcterms:modified>
</cp:coreProperties>
</file>

<file path=docProps/custom.xml><?xml version="1.0" encoding="utf-8"?>
<Properties xmlns="http://schemas.openxmlformats.org/officeDocument/2006/custom-properties" xmlns:vt="http://schemas.openxmlformats.org/officeDocument/2006/docPropsVTypes"/>
</file>