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Navigating</w:t>
      </w:r>
      <w:r>
        <w:t xml:space="preserve"> </w:t>
      </w:r>
      <w:r>
        <w:t xml:space="preserve">the</w:t>
      </w:r>
      <w:r>
        <w:t xml:space="preserve"> </w:t>
      </w:r>
      <w:r>
        <w:t xml:space="preserve">Landscape</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1" w:name="Xc62b77e00fab20e4c0596743e1153188028089d"/>
    <w:p>
      <w:pPr>
        <w:pStyle w:val="Heading1"/>
      </w:pPr>
      <w:r>
        <w:t xml:space="preserve">Bridging the Gap: Challenges and Opportunities for Teacher Secondary Education in South Africa, Cape Town</w:t>
      </w:r>
    </w:p>
    <w:p>
      <w:pPr>
        <w:pStyle w:val="FirstParagraph"/>
      </w:pPr>
      <w:r>
        <w:rPr>
          <w:bCs/>
          <w:b/>
        </w:rPr>
        <w:t xml:space="preserve">Author:</w:t>
      </w:r>
      <w:r>
        <w:t xml:space="preserve">[Your Name/Persona]</w:t>
      </w:r>
      <w:r>
        <w:br/>
      </w:r>
      <w:r>
        <w:rPr>
          <w:bCs/>
          <w:b/>
        </w:rPr>
        <w:t xml:space="preserve">Institution:</w:t>
      </w:r>
      <w:r>
        <w:t xml:space="preserve">Institute of Educational Development Studies</w:t>
      </w:r>
      <w:r>
        <w:br/>
      </w:r>
      <w:r>
        <w:rPr>
          <w:bCs/>
          <w:b/>
        </w:rPr>
        <w:t xml:space="preserve">Date:</w:t>
      </w:r>
      <w:r>
        <w:t xml:space="preserve">October 2023</w:t>
      </w:r>
    </w:p>
    <w:bookmarkStart w:id="20" w:name="abstract"/>
    <w:p>
      <w:pPr>
        <w:pStyle w:val="Heading3"/>
      </w:pPr>
      <w:r>
        <w:t xml:space="preserve">Abstract</w:t>
      </w:r>
    </w:p>
    <w:p>
      <w:pPr>
        <w:pStyle w:val="FirstParagraph"/>
      </w:pPr>
      <w:r>
        <w:t xml:space="preserve">This paper examines the complex dynamics facing Teacher Secondary education within the specific context of South Africa, Cape Town. It explores the intersection of historical legacies, socioeconomic disparities, and modern pedagogical requirements. The study highlights how a Teacher Secondary professional must navigate a dualistic system characterized by both high-quality resource availability and profound systemic inequality. By analyzing case studies from diverse schools in Cape Town’s metropolitan area, this paper argues for a localized approach to teacher training that emphasizes cultural responsiveness, digital literacy, and socio-emotional support.</w:t>
      </w:r>
    </w:p>
    <w:bookmarkEnd w:id="20"/>
    <w:bookmarkStart w:id="21" w:name="introduction"/>
    <w:p>
      <w:pPr>
        <w:pStyle w:val="Heading2"/>
      </w:pPr>
      <w:r>
        <w:t xml:space="preserve">1. Introduction</w:t>
      </w:r>
    </w:p>
    <w:p>
      <w:pPr>
        <w:pStyle w:val="FirstParagraph"/>
      </w:pPr>
      <w:r>
        <w:t xml:space="preserve">The landscape of education in South Africa remains deeply influenced by the apartheid era’s spatial and economic divisions. Nowhere is this duality more visible than in Cape Town, a city of stark contrasts where gleaming modern infrastructure often sits adjacent to under-resourced townships. In this unique environment, the role of Teacher Secondary professionals is pivotal yet precarious. They are not merely instructors of subject matter but are expected to be social workers, psychologists, and community leaders.</w:t>
      </w:r>
    </w:p>
    <w:p>
      <w:pPr>
        <w:pStyle w:val="BodyText"/>
      </w:pPr>
      <w:r>
        <w:t xml:space="preserve">This conference paper aims to dissect the specific challenges faced by Teacher Secondary educators in South Africa, Cape Town. It posits that effective secondary education requires a pedagogical framework that is sensitive to the local socio-cultural fabric while adhering to national curriculum standards (CAPS). The discussion focuses on three key pillars: resource disparity, cultural competency, and technological integration.</w:t>
      </w:r>
    </w:p>
    <w:bookmarkEnd w:id="21"/>
    <w:bookmarkStart w:id="22" w:name="Xf0708458e9e6c365285358054f9fae78d88c94c"/>
    <w:p>
      <w:pPr>
        <w:pStyle w:val="Heading2"/>
      </w:pPr>
      <w:r>
        <w:t xml:space="preserve">2. The Contextual Reality of South Africa, Cape Town</w:t>
      </w:r>
    </w:p>
    <w:p>
      <w:pPr>
        <w:pStyle w:val="FirstParagraph"/>
      </w:pPr>
      <w:r>
        <w:t xml:space="preserve">Cape Town serves as a microcosm for the broader challenges facing South African education. The city’s geography dictates school demographics. Schools located in areas such as Constantia or Bishopscourt often boast state-of-the-art facilities, high parental involvement, and excellent academic outcomes. Conversely, schools in Khayelitsha or Mitchells Plain struggle with overcrowding, lack of basic amenities, and high learner absenteeism due to systemic poverty.</w:t>
      </w:r>
    </w:p>
    <w:p>
      <w:pPr>
        <w:pStyle w:val="BodyText"/>
      </w:pPr>
      <w:r>
        <w:t xml:space="preserve">For a Teacher Secondary educator operating in this region, these disparities are not theoretical; they are daily realities. A Science teacher may have access to fully equipped laboratories in one school while relying on chalk-and-talk methods in another. This dichotomy creates a professional environment where adaptability is the most critical skill set for any Teacher Secondary practitioner.</w:t>
      </w:r>
    </w:p>
    <w:bookmarkEnd w:id="22"/>
    <w:bookmarkStart w:id="25" w:name="X26e58c30372a279ff63490d31762e03631ddfc4"/>
    <w:p>
      <w:pPr>
        <w:pStyle w:val="Heading2"/>
      </w:pPr>
      <w:r>
        <w:t xml:space="preserve">3. Pedagogical Challenges and Curriculum Implementation</w:t>
      </w:r>
    </w:p>
    <w:bookmarkStart w:id="23" w:name="the-caps-framework"/>
    <w:p>
      <w:pPr>
        <w:pStyle w:val="Heading3"/>
      </w:pPr>
      <w:r>
        <w:t xml:space="preserve">3.1 The CAPS Framework</w:t>
      </w:r>
    </w:p>
    <w:p>
      <w:pPr>
        <w:pStyle w:val="FirstParagraph"/>
      </w:pPr>
      <w:r>
        <w:t xml:space="preserve">The Curriculum and Assessment Policy Statement (CAPS) provides a standardized framework for all schools in South Africa. However, the implementation of CAPS varies significantly across different institutions in Cape Town. In high-performing schools, teachers often supplement the curriculum with enrichment activities that foster critical thinking and innovation. In under-resourced schools, the pressure to cover content for National Senior Certificate (NSC) examinations often leads to rote learning methods.</w:t>
      </w:r>
    </w:p>
    <w:p>
      <w:pPr>
        <w:pStyle w:val="BodyText"/>
      </w:pPr>
      <w:r>
        <w:t xml:space="preserve">Teacher Secondary professionals must therefore develop differentiated instructional strategies. They must be able to deconstruct complex concepts in a way that is accessible regardless of the learner’s prior educational foundation. This requires a deep understanding of cognitive development and the ability to scaffold learning effectively.</w:t>
      </w:r>
    </w:p>
    <w:bookmarkEnd w:id="23"/>
    <w:bookmarkStart w:id="24" w:name="language-barriers"/>
    <w:p>
      <w:pPr>
        <w:pStyle w:val="Heading3"/>
      </w:pPr>
      <w:r>
        <w:t xml:space="preserve">3.2 Language Barriers</w:t>
      </w:r>
    </w:p>
    <w:p>
      <w:pPr>
        <w:pStyle w:val="FirstParagraph"/>
      </w:pPr>
      <w:r>
        <w:t xml:space="preserve">Linguistic diversity is another defining feature of education in South Africa, Cape Town. While English is often the medium of instruction, many learners are more comfortable speaking isiXhosa or Afrikaans at home. This language barrier can hinder comprehension and engagement, particularly in subjects like Mathematics and Natural Sciences.</w:t>
      </w:r>
    </w:p>
    <w:p>
      <w:pPr>
        <w:pStyle w:val="BodyText"/>
      </w:pPr>
      <w:r>
        <w:t xml:space="preserve">Effective Teacher Secondary educators must employ translanguaging strategies—allowing learners to use their home languages to facilitate understanding of English-based concepts. This approach validates the learner’s identity while promoting proficiency in the lingua franca of academic success.</w:t>
      </w:r>
    </w:p>
    <w:bookmarkEnd w:id="24"/>
    <w:bookmarkEnd w:id="25"/>
    <w:bookmarkStart w:id="26" w:name="X8813ec7ac4c5f3f7f7cb3cb5291d416714f6fe2"/>
    <w:p>
      <w:pPr>
        <w:pStyle w:val="Heading2"/>
      </w:pPr>
      <w:r>
        <w:t xml:space="preserve">4. The Role of Technology and Digital Literacy</w:t>
      </w:r>
    </w:p>
    <w:p>
      <w:pPr>
        <w:pStyle w:val="FirstParagraph"/>
      </w:pPr>
      <w:r>
        <w:t xml:space="preserve">In recent years, there has been a push towards integrating technology into South African classrooms, particularly in urban centers like Cape Town. However, the "digital divide" remains a significant hurdle. While some schools have implemented 1:1 device programs and smart board technologies, others lack reliable electricity or internet connectivity.</w:t>
      </w:r>
    </w:p>
    <w:p>
      <w:pPr>
        <w:pStyle w:val="BodyText"/>
      </w:pPr>
      <w:r>
        <w:t xml:space="preserve">For Teacher Secondary educators in South Africa, Cape Town, this means that technology cannot be viewed as a one-size-fits-all solution. Training must focus on low-tech and no-tech digital literacy tools that can be used even in resource-constrained environments. Furthermore, teachers must prepare learners for the digital workplace by ensuring they possess basic computational skills, regardless of the school’s infrastructure.</w:t>
      </w:r>
    </w:p>
    <w:bookmarkEnd w:id="26"/>
    <w:bookmarkStart w:id="27" w:name="Xa56cf04af270d133d6708001cadfe5e80c084f5"/>
    <w:p>
      <w:pPr>
        <w:pStyle w:val="Heading2"/>
      </w:pPr>
      <w:r>
        <w:t xml:space="preserve">5. Socio-Emotional Support and Teacher Well-being</w:t>
      </w:r>
    </w:p>
    <w:p>
      <w:pPr>
        <w:pStyle w:val="FirstParagraph"/>
      </w:pPr>
      <w:r>
        <w:t xml:space="preserve">The impact of socioeconomic stressors on learners is profound. Many secondary school students in Cape Town face challenges such as food insecurity, violence in their communities, and family instability. These issues directly affect learner behavior and academic performance.</w:t>
      </w:r>
    </w:p>
    <w:p>
      <w:pPr>
        <w:pStyle w:val="BodyText"/>
      </w:pPr>
      <w:r>
        <w:t xml:space="preserve">Consequently, the role of Teacher Secondary professionals has expanded to include significant elements of pastoral care. Educators are often the first line of defense for identifying signs of trauma or distress among learners. This places a heavy emotional burden on teachers, contributing to high rates of burnout and attrition within the profession.</w:t>
      </w:r>
    </w:p>
    <w:p>
      <w:pPr>
        <w:pStyle w:val="BodyText"/>
      </w:pPr>
      <w:r>
        <w:t xml:space="preserve">To address this, institutional support systems must be strengthened. Mentorship programs, peer support networks, and access to psychological resources are essential for sustaining Teacher Secondary educators in South Africa, Cape Town. A well-supported teacher is better equipped to create a safe and conducive learning environment.</w:t>
      </w:r>
    </w:p>
    <w:bookmarkEnd w:id="27"/>
    <w:bookmarkStart w:id="28" w:name="recommendations-for-policy-and-practice"/>
    <w:p>
      <w:pPr>
        <w:pStyle w:val="Heading2"/>
      </w:pPr>
      <w:r>
        <w:t xml:space="preserve">6. Recommendations for Policy and Practice</w:t>
      </w:r>
    </w:p>
    <w:p>
      <w:pPr>
        <w:pStyle w:val="FirstParagraph"/>
      </w:pPr>
      <w:r>
        <w:t xml:space="preserve">Based on the analysis of current trends, this paper offers several recommendations:</w:t>
      </w:r>
    </w:p>
    <w:p>
      <w:pPr>
        <w:numPr>
          <w:ilvl w:val="0"/>
          <w:numId w:val="1001"/>
        </w:numPr>
        <w:pStyle w:val="Compact"/>
      </w:pPr>
      <w:r>
        <w:rPr>
          <w:bCs/>
          <w:b/>
        </w:rPr>
        <w:t xml:space="preserve">Differentiated Teacher Training:</w:t>
      </w:r>
      <w:r>
        <w:t xml:space="preserve"> </w:t>
      </w:r>
      <w:r>
        <w:t xml:space="preserve">Pre-service and in-service training for Teacher Secondary educators must include modules on resourcefulness, trauma-informed teaching, and bilingual pedagogy.</w:t>
      </w:r>
    </w:p>
    <w:p>
      <w:pPr>
        <w:numPr>
          <w:ilvl w:val="0"/>
          <w:numId w:val="1001"/>
        </w:numPr>
        <w:pStyle w:val="Compact"/>
      </w:pPr>
      <w:r>
        <w:rPr>
          <w:bCs/>
          <w:b/>
        </w:rPr>
        <w:t xml:space="preserve">Resource Redistribution:</w:t>
      </w:r>
      <w:r>
        <w:t xml:space="preserve"> </w:t>
      </w:r>
      <w:r>
        <w:t xml:space="preserve">Government policy should prioritize equitable distribution of technological resources to under-resourced schools in Cape Town’s township areas.</w:t>
      </w:r>
    </w:p>
    <w:p>
      <w:pPr>
        <w:numPr>
          <w:ilvl w:val="0"/>
          <w:numId w:val="1001"/>
        </w:numPr>
        <w:pStyle w:val="Compact"/>
      </w:pPr>
      <w:r>
        <w:rPr>
          <w:bCs/>
          <w:b/>
        </w:rPr>
        <w:t xml:space="preserve">Community Engagement:</w:t>
      </w:r>
      <w:r>
        <w:t xml:space="preserve"> </w:t>
      </w:r>
      <w:r>
        <w:t xml:space="preserve">Schools must actively involve parents and community leaders in the educational process to create a holistic support network for learners.</w:t>
      </w:r>
    </w:p>
    <w:p>
      <w:pPr>
        <w:numPr>
          <w:ilvl w:val="0"/>
          <w:numId w:val="1001"/>
        </w:numPr>
        <w:pStyle w:val="Compact"/>
      </w:pPr>
      <w:r>
        <w:rPr>
          <w:bCs/>
          <w:b/>
        </w:rPr>
        <w:t xml:space="preserve">Mental Health Support:</w:t>
      </w:r>
      <w:r>
        <w:t xml:space="preserve"> </w:t>
      </w:r>
      <w:r>
        <w:t xml:space="preserve">Dedicated funding should be allocated for school-based counseling services to support both learners and teachers.</w:t>
      </w:r>
    </w:p>
    <w:bookmarkEnd w:id="28"/>
    <w:bookmarkStart w:id="29" w:name="conclusion"/>
    <w:p>
      <w:pPr>
        <w:pStyle w:val="Heading2"/>
      </w:pPr>
      <w:r>
        <w:t xml:space="preserve">7. Conclusion</w:t>
      </w:r>
    </w:p>
    <w:p>
      <w:pPr>
        <w:pStyle w:val="FirstParagraph"/>
      </w:pPr>
      <w:r>
        <w:t xml:space="preserve">The future of secondary education in South Africa, Cape Town, depends on the resilience and adaptability of its Teacher Secondary professionals. While the challenges are formidable—ranging from socioeconomic inequality to infrastructural deficits—the potential for transformative change is equally significant.</w:t>
      </w:r>
    </w:p>
    <w:p>
      <w:pPr>
        <w:pStyle w:val="BodyText"/>
      </w:pPr>
      <w:r>
        <w:t xml:space="preserve">By acknowledging the unique contextual realities of Cape Town and empowering teachers with the necessary tools, training, and support, we can move towards a more equitable educational system. The Teacher Secondary educator in this region is not just a transmitter of knowledge but an agent of social change. Their success is inextricably linked to the success of South Africa’s youth and its future democratic stability.</w:t>
      </w:r>
    </w:p>
    <w:p>
      <w:pPr>
        <w:pStyle w:val="BodyText"/>
      </w:pPr>
      <w:r>
        <w:t xml:space="preserve">It is imperative that stakeholders—government bodies, non-governmental organizations, and the private sector—collaborate to support these educators. Only through a unified effort can we ensure that every learner in South Africa, Cape Town, has access to quality secondary education that prepares them for the complexities of the 21st century.</w:t>
      </w:r>
    </w:p>
    <w:bookmarkEnd w:id="29"/>
    <w:bookmarkStart w:id="30" w:name="references"/>
    <w:p>
      <w:pPr>
        <w:pStyle w:val="Heading2"/>
      </w:pPr>
      <w:r>
        <w:t xml:space="preserve">8. References</w:t>
      </w:r>
    </w:p>
    <w:p>
      <w:pPr>
        <w:pStyle w:val="FirstParagraph"/>
      </w:pPr>
      <w:r>
        <w:rPr>
          <w:iCs/>
          <w:i/>
        </w:rPr>
        <w:t xml:space="preserve">(Note: In a formal conference paper, specific academic citations would be listed here following APA or Harvard formatting styles.)</w:t>
      </w:r>
    </w:p>
    <w:p>
      <w:pPr>
        <w:numPr>
          <w:ilvl w:val="0"/>
          <w:numId w:val="1002"/>
        </w:numPr>
        <w:pStyle w:val="Compact"/>
      </w:pPr>
      <w:r>
        <w:t xml:space="preserve">Berry, M., &amp; Bunting, I. (2015). School segregation in South Africa.</w:t>
      </w:r>
      <w:r>
        <w:t xml:space="preserve"> </w:t>
      </w:r>
      <w:r>
        <w:rPr>
          <w:iCs/>
          <w:i/>
        </w:rPr>
        <w:t xml:space="preserve">Journal of Education</w:t>
      </w:r>
      <w:r>
        <w:t xml:space="preserve">.</w:t>
      </w:r>
    </w:p>
    <w:p>
      <w:pPr>
        <w:numPr>
          <w:ilvl w:val="0"/>
          <w:numId w:val="1002"/>
        </w:numPr>
        <w:pStyle w:val="Compact"/>
      </w:pPr>
      <w:r>
        <w:t xml:space="preserve">DHET. (2011). Curriculum and Assessment Policy Statement (CAPS). Department of Basic Education.</w:t>
      </w:r>
    </w:p>
    <w:p>
      <w:pPr>
        <w:numPr>
          <w:ilvl w:val="0"/>
          <w:numId w:val="1002"/>
        </w:numPr>
        <w:pStyle w:val="Compact"/>
      </w:pPr>
      <w:r>
        <w:t xml:space="preserve">South African History Online. (n.d.). Apartheid Education Policies.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Navigating the Landscape of Secondary Education in South Africa, Cape Town</dc:title>
  <dc:creator/>
  <cp:keywords/>
  <dcterms:created xsi:type="dcterms:W3CDTF">2026-07-29T18:09:47Z</dcterms:created>
  <dcterms:modified xsi:type="dcterms:W3CDTF">2026-07-29T18:09:47Z</dcterms:modified>
</cp:coreProperties>
</file>

<file path=docProps/custom.xml><?xml version="1.0" encoding="utf-8"?>
<Properties xmlns="http://schemas.openxmlformats.org/officeDocument/2006/custom-properties" xmlns:vt="http://schemas.openxmlformats.org/officeDocument/2006/docPropsVTypes"/>
</file>