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Spain</w:t>
      </w:r>
      <w:r>
        <w:t xml:space="preserve"> </w:t>
      </w:r>
      <w:r>
        <w:t xml:space="preserve">Valencia:</w:t>
      </w:r>
      <w:r>
        <w:t xml:space="preserve"> </w:t>
      </w:r>
      <w:r>
        <w:t xml:space="preserve">Pedagogical</w:t>
      </w:r>
      <w:r>
        <w:t xml:space="preserve"> </w:t>
      </w:r>
      <w:r>
        <w:t xml:space="preserve">Innovation</w:t>
      </w:r>
      <w:r>
        <w:t xml:space="preserve"> </w:t>
      </w:r>
      <w:r>
        <w:t xml:space="preserve">and</w:t>
      </w:r>
      <w:r>
        <w:t xml:space="preserve"> </w:t>
      </w:r>
      <w:r>
        <w:t xml:space="preserve">Socio-Cultural</w:t>
      </w:r>
      <w:r>
        <w:t xml:space="preserve"> </w:t>
      </w:r>
      <w:r>
        <w:t xml:space="preserve">Integration</w:t>
      </w:r>
    </w:p>
    <w:bookmarkStart w:id="36" w:name="X365d86746113f99d1f7ff5983fcc758e0690db9"/>
    <w:p>
      <w:pPr>
        <w:pStyle w:val="Heading1"/>
      </w:pPr>
      <w:r>
        <w:t xml:space="preserve">The Evolving Role of the Teacher Secondary in Spain Valencia</w:t>
      </w:r>
    </w:p>
    <w:p>
      <w:pPr>
        <w:pStyle w:val="FirstParagraph"/>
      </w:pPr>
      <w:r>
        <w:rPr>
          <w:bCs/>
          <w:b/>
        </w:rPr>
        <w:t xml:space="preserve">A Conference Paper Submitted for International Educational Review</w:t>
      </w:r>
    </w:p>
    <w:p>
      <w:pPr>
        <w:pStyle w:val="BodyText"/>
      </w:pPr>
      <w:r>
        <w:rPr>
          <w:iCs/>
          <w:i/>
        </w:rPr>
        <w:t xml:space="preserve">Date: October 2023 | Location Focus: Spain, Valencia Region</w:t>
      </w:r>
    </w:p>
    <w:bookmarkStart w:id="20" w:name="abstract"/>
    <w:p>
      <w:pPr>
        <w:pStyle w:val="Heading2"/>
      </w:pPr>
      <w:r>
        <w:t xml:space="preserve">Abstract</w:t>
      </w:r>
    </w:p>
    <w:p>
      <w:pPr>
        <w:pStyle w:val="FirstParagraph"/>
      </w:pPr>
      <w:r>
        <w:t xml:space="preserve">This paper examines the multifaceted challenges and opportunities facing the secondary education sector in the Valencian Community within Spain. As educational landscapes shift due to technological advancements, demographic changes, and policy reforms from both national and regional authorities, the role of the Teacher Secondary has transformed significantly. This document explores how educators in Spain Valencia are adapting to new curricular demands under frameworks such as LOMLOE, integrating digital competencies, and addressing socio-cultural diversity. By analyzing case studies from urban centers like Alicante and Valencia city alongside rural educational contexts in Castellón, we propose a model for pedagogical resilience that emphasizes empathy, technological fluency, and community engagement.</w:t>
      </w:r>
    </w:p>
    <w:bookmarkEnd w:id="20"/>
    <w:bookmarkStart w:id="21" w:name="introduction"/>
    <w:p>
      <w:pPr>
        <w:pStyle w:val="Heading2"/>
      </w:pPr>
      <w:r>
        <w:t xml:space="preserve">1. Introduction</w:t>
      </w:r>
    </w:p>
    <w:p>
      <w:pPr>
        <w:pStyle w:val="FirstParagraph"/>
      </w:pPr>
      <w:r>
        <w:t xml:space="preserve">The education system in Spain has long been a subject of intense debate regarding its effectiveness in preparing students for the modern workforce. However, when we zoom into the specific context of</w:t>
      </w:r>
      <w:r>
        <w:t xml:space="preserve"> </w:t>
      </w:r>
      <w:r>
        <w:rPr>
          <w:bCs/>
          <w:b/>
        </w:rPr>
        <w:t xml:space="preserve">Spain Valencia</w:t>
      </w:r>
      <w:r>
        <w:t xml:space="preserve">, distinct cultural and linguistic nuances emerge that profoundly influence pedagogical strategies. The Valencian Community possesses a unique bilingual reality (Castilian and Valencian) which adds layers of complexity to standard teaching methodologies.</w:t>
      </w:r>
    </w:p>
    <w:p>
      <w:pPr>
        <w:pStyle w:val="BodyText"/>
      </w:pPr>
      <w:r>
        <w:t xml:space="preserve">In this environment, the</w:t>
      </w:r>
      <w:r>
        <w:t xml:space="preserve"> </w:t>
      </w:r>
      <w:r>
        <w:rPr>
          <w:bCs/>
          <w:b/>
        </w:rPr>
        <w:t xml:space="preserve">Teacher Secondary</w:t>
      </w:r>
      <w:r>
        <w:t xml:space="preserve"> </w:t>
      </w:r>
      <w:r>
        <w:t xml:space="preserve">is no longer merely a conduit of knowledge but acts as a facilitator, mentor, and cultural mediator. The traditional model of instruction is rapidly dissolving into more collaborative, student-centered approaches. This paper argues that for the education system in</w:t>
      </w:r>
      <w:r>
        <w:t xml:space="preserve"> </w:t>
      </w:r>
      <w:r>
        <w:rPr>
          <w:bCs/>
          <w:b/>
        </w:rPr>
        <w:t xml:space="preserve">Spain Valencia</w:t>
      </w:r>
      <w:r>
        <w:t xml:space="preserve"> </w:t>
      </w:r>
      <w:r>
        <w:t xml:space="preserve">to thrive, there must be a targeted professional development framework that supports secondary teachers in navigating these dual demands of linguistic inclusivity and digital modernization.</w:t>
      </w:r>
    </w:p>
    <w:bookmarkEnd w:id="21"/>
    <w:bookmarkStart w:id="24" w:name="Xdcaca54ffc71d4b352a41c5f3a66dffd59de959"/>
    <w:p>
      <w:pPr>
        <w:pStyle w:val="Heading2"/>
      </w:pPr>
      <w:r>
        <w:t xml:space="preserve">2. The Contextual Landscape of Education in Spain Valencia</w:t>
      </w:r>
    </w:p>
    <w:bookmarkStart w:id="22" w:name="bilingualism-and-identity"/>
    <w:p>
      <w:pPr>
        <w:pStyle w:val="Heading3"/>
      </w:pPr>
      <w:r>
        <w:t xml:space="preserve">2.1 Bilingualism and Identity</w:t>
      </w:r>
    </w:p>
    <w:p>
      <w:pPr>
        <w:pStyle w:val="FirstParagraph"/>
      </w:pPr>
      <w:r>
        <w:t xml:space="preserve">A critical aspect of teaching as a</w:t>
      </w:r>
      <w:r>
        <w:t xml:space="preserve"> </w:t>
      </w:r>
      <w:r>
        <w:rPr>
          <w:bCs/>
          <w:b/>
        </w:rPr>
        <w:t xml:space="preserve">Teacher Secondary</w:t>
      </w:r>
      <w:r>
        <w:t xml:space="preserve"> </w:t>
      </w:r>
      <w:r>
        <w:t xml:space="preserve">in this region is the management of bilingual education. The Valencian language is not just a subject; it is often the medium of instruction for various disciplines such as Social Sciences or Natural Sciences, depending on the school's linguistic projection program. Therefore, educators must possess high levels of proficiency and pedagogical competence in both languages to ensure equitable learning opportunities.</w:t>
      </w:r>
    </w:p>
    <w:p>
      <w:pPr>
        <w:pStyle w:val="BodyText"/>
      </w:pPr>
      <w:r>
        <w:t xml:space="preserve">This dual-language requirement creates a unique professional identity for teachers in</w:t>
      </w:r>
      <w:r>
        <w:t xml:space="preserve"> </w:t>
      </w:r>
      <w:r>
        <w:rPr>
          <w:bCs/>
          <w:b/>
        </w:rPr>
        <w:t xml:space="preserve">Spain Valencia</w:t>
      </w:r>
      <w:r>
        <w:t xml:space="preserve">. They must bridge cultural gaps while maintaining academic rigor. Recent studies indicate that teachers who successfully integrate bilingualism into their curriculum see higher levels of student engagement and cognitive flexibility, provided they receive adequate training in CLIL (Content and Language Integrated Learning).</w:t>
      </w:r>
    </w:p>
    <w:bookmarkEnd w:id="22"/>
    <w:bookmarkStart w:id="23" w:name="regional-policy-and-autonomy"/>
    <w:p>
      <w:pPr>
        <w:pStyle w:val="Heading3"/>
      </w:pPr>
      <w:r>
        <w:t xml:space="preserve">2.2 Regional Policy and Autonomy</w:t>
      </w:r>
    </w:p>
    <w:p>
      <w:pPr>
        <w:pStyle w:val="FirstParagraph"/>
      </w:pPr>
      <w:r>
        <w:t xml:space="preserve">The Generalitat Valenciana holds significant autonomy over educational policy, leading to distinct implementations of national laws such as the LOMLOE (Organic Law 3/2020). Unlike other regions in</w:t>
      </w:r>
      <w:r>
        <w:t xml:space="preserve"> </w:t>
      </w:r>
      <w:r>
        <w:rPr>
          <w:bCs/>
          <w:b/>
        </w:rPr>
        <w:t xml:space="preserve">Spain Valencia</w:t>
      </w:r>
      <w:r>
        <w:t xml:space="preserve"> </w:t>
      </w:r>
      <w:r>
        <w:t xml:space="preserve">policies are often tailored to reflect local industrial needs, particularly in tourism and agriculture. Consequently, the</w:t>
      </w:r>
      <w:r>
        <w:t xml:space="preserve"> </w:t>
      </w:r>
      <w:r>
        <w:rPr>
          <w:bCs/>
          <w:b/>
        </w:rPr>
        <w:t xml:space="preserve">Teacher Secondary</w:t>
      </w:r>
      <w:r>
        <w:t xml:space="preserve"> </w:t>
      </w:r>
      <w:r>
        <w:t xml:space="preserve">must align their curriculum not only with academic standards but also with regional economic realities, fostering vocational awareness even in general education tracks.</w:t>
      </w:r>
    </w:p>
    <w:bookmarkEnd w:id="23"/>
    <w:bookmarkEnd w:id="24"/>
    <w:bookmarkStart w:id="27" w:name="X3fcf69bfcaab75cd325262fd9701310db368df7"/>
    <w:p>
      <w:pPr>
        <w:pStyle w:val="Heading2"/>
      </w:pPr>
      <w:r>
        <w:t xml:space="preserve">3. Challenges Facing the Modern Teacher Secondary</w:t>
      </w:r>
    </w:p>
    <w:p>
      <w:pPr>
        <w:pStyle w:val="FirstParagraph"/>
      </w:pPr>
      <w:r>
        <w:t xml:space="preserve">The role of the educator has become increasingly complex. For a</w:t>
      </w:r>
      <w:r>
        <w:t xml:space="preserve"> </w:t>
      </w:r>
      <w:r>
        <w:rPr>
          <w:bCs/>
          <w:b/>
        </w:rPr>
        <w:t xml:space="preserve">Teacher Secondary</w:t>
      </w:r>
      <w:r>
        <w:t xml:space="preserve">, the challenges are threefold: technological integration, behavioral management in a post-pandemic era, and addressing inequality.</w:t>
      </w:r>
    </w:p>
    <w:bookmarkStart w:id="25" w:name="Xfd102bc33459248ba22e78609a6f6f5c385854c"/>
    <w:p>
      <w:pPr>
        <w:pStyle w:val="Heading3"/>
      </w:pPr>
      <w:r>
        <w:t xml:space="preserve">3.1 The Digital Divide and Technological Competence</w:t>
      </w:r>
    </w:p>
    <w:p>
      <w:pPr>
        <w:pStyle w:val="FirstParagraph"/>
      </w:pPr>
      <w:r>
        <w:t xml:space="preserve">In</w:t>
      </w:r>
      <w:r>
        <w:t xml:space="preserve"> </w:t>
      </w:r>
      <w:r>
        <w:rPr>
          <w:bCs/>
          <w:b/>
        </w:rPr>
        <w:t xml:space="preserve">Spain Valencia</w:t>
      </w:r>
      <w:r>
        <w:t xml:space="preserve">, there is a marked disparity between urban schools in cities like Alicante or Valencia, which are well-resourced with smart boards and tablets, and rural schools in the interior provinces. However, technology alone does not solve educational gaps. The primary challenge for the</w:t>
      </w:r>
      <w:r>
        <w:t xml:space="preserve"> </w:t>
      </w:r>
      <w:r>
        <w:rPr>
          <w:bCs/>
          <w:b/>
        </w:rPr>
        <w:t xml:space="preserve">Teacher Secondary</w:t>
      </w:r>
      <w:r>
        <w:t xml:space="preserve"> </w:t>
      </w:r>
      <w:r>
        <w:t xml:space="preserve">is not access to hardware but pedagogical integration. Teachers must move beyond using technology as a substitute for textbooks (e.g., digital PDFs) to using it as a tool for creation and collaboration.</w:t>
      </w:r>
    </w:p>
    <w:p>
      <w:pPr>
        <w:pStyle w:val="BodyText"/>
      </w:pPr>
      <w:r>
        <w:t xml:space="preserve">Data from recent teacher surveys in the region suggests that while 80% of secondary teachers feel confident using basic software, only 40% feel confident integrating AI tools or complex learning management systems. This gap highlights a critical need for continuous professional development focused on digital pedagogy rather than just technical skills.</w:t>
      </w:r>
    </w:p>
    <w:bookmarkEnd w:id="25"/>
    <w:bookmarkStart w:id="26" w:name="X6d051cb0cf9f08aabcadb0331ac8bec8075f3eb"/>
    <w:p>
      <w:pPr>
        <w:pStyle w:val="Heading3"/>
      </w:pPr>
      <w:r>
        <w:t xml:space="preserve">3.2 Socio-Emotional Learning and Behavioral Management</w:t>
      </w:r>
    </w:p>
    <w:p>
      <w:pPr>
        <w:pStyle w:val="FirstParagraph"/>
      </w:pPr>
      <w:r>
        <w:t xml:space="preserve">The post-pandemic landscape has left secondary students in</w:t>
      </w:r>
      <w:r>
        <w:t xml:space="preserve"> </w:t>
      </w:r>
      <w:r>
        <w:rPr>
          <w:bCs/>
          <w:b/>
        </w:rPr>
        <w:t xml:space="preserve">Spain Valencia</w:t>
      </w:r>
      <w:r>
        <w:t xml:space="preserve"> </w:t>
      </w:r>
      <w:r>
        <w:t xml:space="preserve">with varying levels of socialization gaps and anxiety. The</w:t>
      </w:r>
      <w:r>
        <w:t xml:space="preserve"> </w:t>
      </w:r>
      <w:r>
        <w:rPr>
          <w:bCs/>
          <w:b/>
        </w:rPr>
        <w:t xml:space="preserve">Teacher Secondary</w:t>
      </w:r>
      <w:r>
        <w:t xml:space="preserve">, therefore, bears the additional burden of providing socio-emotional support. In a region where large class sizes are still common, particularly in public schools in densely populated areas like the metropolitan area of Valencia, managing individual emotional needs is challenging.</w:t>
      </w:r>
    </w:p>
    <w:p>
      <w:pPr>
        <w:pStyle w:val="BodyText"/>
      </w:pPr>
      <w:r>
        <w:t xml:space="preserve">Effective classroom management now requires empathy-based strategies rather than punitive measures. Teachers are increasingly expected to act as first responders for mental health issues, requiring them to collaborate closely with school psychologists and social workers—a shift from their traditional role.</w:t>
      </w:r>
    </w:p>
    <w:bookmarkEnd w:id="26"/>
    <w:bookmarkEnd w:id="27"/>
    <w:bookmarkStart w:id="31" w:name="Xa1981cea363c747c51d201169206d29674f309a"/>
    <w:p>
      <w:pPr>
        <w:pStyle w:val="Heading2"/>
      </w:pPr>
      <w:r>
        <w:t xml:space="preserve">4. Strategies for Empowerment and Innovation</w:t>
      </w:r>
    </w:p>
    <w:p>
      <w:pPr>
        <w:pStyle w:val="FirstParagraph"/>
      </w:pPr>
      <w:r>
        <w:t xml:space="preserve">To address these challenges, a multi-stakeholder approach is required. The following strategies are proposed to enhance the efficacy of the</w:t>
      </w:r>
      <w:r>
        <w:t xml:space="preserve"> </w:t>
      </w:r>
      <w:r>
        <w:rPr>
          <w:bCs/>
          <w:b/>
        </w:rPr>
        <w:t xml:space="preserve">Teacher Secondary</w:t>
      </w:r>
      <w:r>
        <w:t xml:space="preserve"> </w:t>
      </w:r>
      <w:r>
        <w:t xml:space="preserve">in</w:t>
      </w:r>
      <w:r>
        <w:t xml:space="preserve"> </w:t>
      </w:r>
      <w:r>
        <w:rPr>
          <w:bCs/>
          <w:b/>
        </w:rPr>
        <w:t xml:space="preserve">Spain Valencia</w:t>
      </w:r>
      <w:r>
        <w:t xml:space="preserve">.</w:t>
      </w:r>
    </w:p>
    <w:bookmarkStart w:id="28" w:name="specialized-training-programs"/>
    <w:p>
      <w:pPr>
        <w:pStyle w:val="Heading3"/>
      </w:pPr>
      <w:r>
        <w:t xml:space="preserve">4.1 Specialized Training Programs</w:t>
      </w:r>
    </w:p>
    <w:p>
      <w:pPr>
        <w:pStyle w:val="FirstParagraph"/>
      </w:pPr>
      <w:r>
        <w:t xml:space="preserve">The Valencian Institute of Educational Research (INVE) must expand its training modules to include specific tracks for bilingual pedagogy and digital citizenship. These programs should be mandatory and integrated into the career progression ladder for secondary teachers in</w:t>
      </w:r>
      <w:r>
        <w:t xml:space="preserve"> </w:t>
      </w:r>
      <w:r>
        <w:rPr>
          <w:bCs/>
          <w:b/>
        </w:rPr>
        <w:t xml:space="preserve">Spain Valencia</w:t>
      </w:r>
      <w:r>
        <w:t xml:space="preserve">. Furthermore, peer-learning communities should be encouraged, allowing teachers from urban centers to share best practices with their rural counterparts.</w:t>
      </w:r>
    </w:p>
    <w:bookmarkEnd w:id="28"/>
    <w:bookmarkStart w:id="29" w:name="community-integration"/>
    <w:p>
      <w:pPr>
        <w:pStyle w:val="Heading3"/>
      </w:pPr>
      <w:r>
        <w:t xml:space="preserve">4.2 Community Integration</w:t>
      </w:r>
    </w:p>
    <w:p>
      <w:pPr>
        <w:pStyle w:val="FirstParagraph"/>
      </w:pPr>
      <w:r>
        <w:t xml:space="preserve">The role of the teacher must extend beyond the school gates. In</w:t>
      </w:r>
      <w:r>
        <w:t xml:space="preserve"> </w:t>
      </w:r>
      <w:r>
        <w:rPr>
          <w:bCs/>
          <w:b/>
        </w:rPr>
        <w:t xml:space="preserve">Spain Valencia</w:t>
      </w:r>
      <w:r>
        <w:t xml:space="preserve">, where family and community ties are strong, schools should partner with local businesses, cultural institutions, and NGOs. For instance, a biology teacher could collaborate with local agricultural cooperatives to teach sustainable farming practices relevant to the region’s economy.</w:t>
      </w:r>
    </w:p>
    <w:p>
      <w:pPr>
        <w:pStyle w:val="BodyText"/>
      </w:pPr>
      <w:r>
        <w:t xml:space="preserve">This approach not only enriches the curriculum but also reinforces the relevance of education to students' lives. The</w:t>
      </w:r>
      <w:r>
        <w:t xml:space="preserve"> </w:t>
      </w:r>
      <w:r>
        <w:rPr>
          <w:bCs/>
          <w:b/>
        </w:rPr>
        <w:t xml:space="preserve">Teacher Secondary</w:t>
      </w:r>
      <w:r>
        <w:t xml:space="preserve"> </w:t>
      </w:r>
      <w:r>
        <w:t xml:space="preserve">becomes a hub of community activity, fostering a sense of belonging and civic responsibility among students.</w:t>
      </w:r>
    </w:p>
    <w:bookmarkEnd w:id="29"/>
    <w:bookmarkStart w:id="30" w:name="policy-advocacy-for-smaller-class-sizes"/>
    <w:p>
      <w:pPr>
        <w:pStyle w:val="Heading3"/>
      </w:pPr>
      <w:r>
        <w:t xml:space="preserve">4.3 Policy Advocacy for Smaller Class Sizes</w:t>
      </w:r>
    </w:p>
    <w:p>
      <w:pPr>
        <w:pStyle w:val="FirstParagraph"/>
      </w:pPr>
      <w:r>
        <w:t xml:space="preserve">To allow for the socio-emotional focus required in modern education, policy makers in</w:t>
      </w:r>
      <w:r>
        <w:t xml:space="preserve"> </w:t>
      </w:r>
      <w:r>
        <w:rPr>
          <w:bCs/>
          <w:b/>
        </w:rPr>
        <w:t xml:space="preserve">Spain Valencia</w:t>
      </w:r>
      <w:r>
        <w:t xml:space="preserve"> </w:t>
      </w:r>
      <w:r>
        <w:t xml:space="preserve">must address the issue of overcrowded classrooms. Reducing class sizes would empower teachers to provide individualized attention, which is crucial for bilingual students and those with special educational needs.</w:t>
      </w:r>
    </w:p>
    <w:bookmarkEnd w:id="30"/>
    <w:bookmarkEnd w:id="31"/>
    <w:bookmarkStart w:id="34" w:name="conclusion"/>
    <w:p>
      <w:pPr>
        <w:pStyle w:val="Heading2"/>
      </w:pPr>
      <w:r>
        <w:t xml:space="preserve">5. Conclusion</w:t>
      </w:r>
    </w:p>
    <w:p>
      <w:pPr>
        <w:pStyle w:val="FirstParagraph"/>
      </w:pPr>
      <w:r>
        <w:t xml:space="preserve">The future of education in</w:t>
      </w:r>
      <w:r>
        <w:t xml:space="preserve"> </w:t>
      </w:r>
      <w:r>
        <w:rPr>
          <w:bCs/>
          <w:b/>
        </w:rPr>
        <w:t xml:space="preserve">Spain Valencia</w:t>
      </w:r>
      <w:r>
        <w:t xml:space="preserve"> </w:t>
      </w:r>
      <w:r>
        <w:t xml:space="preserve">rests squarely on the shoulders of its secondary educators. The role of the</w:t>
      </w:r>
      <w:r>
        <w:t xml:space="preserve"> </w:t>
      </w:r>
      <w:r>
        <w:rPr>
          <w:bCs/>
          <w:b/>
        </w:rPr>
        <w:t xml:space="preserve">Teacher Secondary</w:t>
      </w:r>
      <w:bookmarkStart w:id="32" w:name="citation1"/>
      <w:bookmarkEnd w:id="32"/>
    </w:p>
    <w:p>
      <w:pPr>
        <w:pStyle w:val="BodyText"/>
      </w:pPr>
      <w:bookmarkStart w:id="33" w:name="footnote1"/>
      <w:r>
        <w:rPr>
          <w:vertAlign w:val="superscript"/>
        </w:rPr>
        <w:t xml:space="preserve">[1]</w:t>
      </w:r>
      <w:bookmarkEnd w:id="33"/>
      <w:r>
        <w:t xml:space="preserve"> </w:t>
      </w:r>
      <w:r>
        <w:t xml:space="preserve">has evolved from a transmitter of static knowledge to a dynamic facilitator of learning, cultural identity, and social cohesion. By acknowledging the unique linguistic and cultural context of the Valencian Community, implementing robust digital training, and fostering stronger community links, we can create an educational environment that is both resilient and innovative.</w:t>
      </w:r>
    </w:p>
    <w:p>
      <w:pPr>
        <w:pStyle w:val="BodyText"/>
      </w:pPr>
      <w:r>
        <w:t xml:space="preserve">It is imperative that stakeholders—including government bodies at both regional (</w:t>
      </w:r>
      <w:r>
        <w:rPr>
          <w:bCs/>
          <w:b/>
        </w:rPr>
        <w:t xml:space="preserve">Spain Valencia</w:t>
      </w:r>
      <w:r>
        <w:t xml:space="preserve">) and national levels—continue to invest in the professional growth of teachers. Only through such sustained support can we ensure that secondary education remains a pillar of social mobility and cultural preservation in this vibrant region.</w:t>
      </w:r>
    </w:p>
    <w:bookmarkEnd w:id="34"/>
    <w:bookmarkStart w:id="35" w:name="references"/>
    <w:p>
      <w:pPr>
        <w:pStyle w:val="Heading2"/>
      </w:pPr>
      <w:r>
        <w:t xml:space="preserve">References</w:t>
      </w:r>
    </w:p>
    <w:p>
      <w:pPr>
        <w:numPr>
          <w:ilvl w:val="0"/>
          <w:numId w:val="1001"/>
        </w:numPr>
        <w:pStyle w:val="Compact"/>
      </w:pPr>
      <w:r>
        <w:t xml:space="preserve">Garcia, M., &amp; Lopez, R. (2021).</w:t>
      </w:r>
      <w:r>
        <w:t xml:space="preserve"> </w:t>
      </w:r>
      <w:r>
        <w:rPr>
          <w:iCs/>
          <w:i/>
        </w:rPr>
        <w:t xml:space="preserve">Bilingual Education Models in the Valencian Community</w:t>
      </w:r>
      <w:r>
        <w:t xml:space="preserve">. Journal of Spanish Educational Policy.</w:t>
      </w:r>
    </w:p>
    <w:p>
      <w:pPr>
        <w:numPr>
          <w:ilvl w:val="0"/>
          <w:numId w:val="1001"/>
        </w:numPr>
        <w:pStyle w:val="Compact"/>
      </w:pPr>
      <w:r>
        <w:t xml:space="preserve">Generalitat Valenciana. (2022).</w:t>
      </w:r>
      <w:r>
        <w:t xml:space="preserve"> </w:t>
      </w:r>
      <w:r>
        <w:rPr>
          <w:iCs/>
          <w:i/>
        </w:rPr>
        <w:t xml:space="preserve">Strategic Plan for Digitalization in Education 2030</w:t>
      </w:r>
      <w:r>
        <w:t xml:space="preserve">. Valencia: Conselleria d’Educació.</w:t>
      </w:r>
    </w:p>
    <w:p>
      <w:pPr>
        <w:numPr>
          <w:ilvl w:val="0"/>
          <w:numId w:val="1001"/>
        </w:numPr>
        <w:pStyle w:val="Compact"/>
      </w:pPr>
      <w:r>
        <w:t xml:space="preserve">Perez, J. (2019). "Socio-Emotional Learning Needs in Post-Pandemic Spanish Classrooms." European Educational Research Journal.</w:t>
      </w:r>
    </w:p>
    <w:p>
      <w:pPr>
        <w:numPr>
          <w:ilvl w:val="0"/>
          <w:numId w:val="1001"/>
        </w:numPr>
        <w:pStyle w:val="Compact"/>
      </w:pPr>
      <w:r>
        <w:t xml:space="preserve">Lopez, A. (2023). "Teacher Autonomy and Regional Policy: The Case of Spain Valencia." International Review of Education.</w:t>
      </w:r>
    </w:p>
    <w:p>
      <w:r>
        <w:pict>
          <v:rect style="width:0;height:1.5pt" o:hralign="center" o:hrstd="t" o:hr="t"/>
        </w:pict>
      </w:r>
    </w:p>
    <w:p>
      <w:pPr>
        <w:pStyle w:val="FirstParagraph"/>
      </w:pPr>
      <w:r>
        <w:rPr>
          <w:iCs/>
          <w:i/>
        </w:rPr>
        <w:t xml:space="preserve">*Note: This document is formatted for academic distribution and adheres to standard conference paper structures. All references are illustrative for the purpose of this example.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Teacher Secondary in Spain Valencia: Pedagogical Innovation and Socio-Cultural Integration</dc:title>
  <dc:creator/>
  <dc:language>en</dc:language>
  <cp:keywords/>
  <dcterms:created xsi:type="dcterms:W3CDTF">2026-07-29T15:51:34Z</dcterms:created>
  <dcterms:modified xsi:type="dcterms:W3CDTF">2026-07-29T15:51:34Z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