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27" w:name="X658232acb6f596dfd87fdfaffd3ceef67335343"/>
    <w:p>
      <w:pPr>
        <w:pStyle w:val="Heading1"/>
      </w:pPr>
      <w:r>
        <w:t xml:space="preserve">The Role and Evolution of the Secondary School Teacher in Uzbekistan: A Case Study of Tashkent</w:t>
      </w:r>
    </w:p>
    <w:p>
      <w:pPr>
        <w:pStyle w:val="FirstParagraph"/>
      </w:pPr>
      <w:r>
        <w:rPr>
          <w:bCs/>
          <w:b/>
        </w:rPr>
        <w:t xml:space="preserve">Abstract:</w:t>
      </w:r>
      <w:r>
        <w:br/>
      </w:r>
      <w:r>
        <w:t xml:space="preserve">This paper examines the transformative role of the</w:t>
      </w:r>
      <w:r>
        <w:t xml:space="preserve"> </w:t>
      </w:r>
      <w:r>
        <w:rPr>
          <w:bCs/>
          <w:b/>
        </w:rPr>
        <w:t xml:space="preserve">TASHKENT UZBEKISTAN</w:t>
      </w:r>
      <w:r>
        <w:t xml:space="preserve"> </w:t>
      </w:r>
      <w:r>
        <w:t xml:space="preserve">educational landscape, specifically focusing on the modernization efforts impacting secondary education. As</w:t>
      </w:r>
      <w:r>
        <w:t xml:space="preserve"> </w:t>
      </w:r>
      <w:r>
        <w:rPr>
          <w:bCs/>
          <w:b/>
        </w:rPr>
        <w:t xml:space="preserve">Tashkent Uzbekistan</w:t>
      </w:r>
      <w:r>
        <w:t xml:space="preserve"> </w:t>
      </w:r>
      <w:r>
        <w:t xml:space="preserve">emerges as a regional hub for academic excellence, this study analyzes how a contemporary</w:t>
      </w:r>
      <w:r>
        <w:t xml:space="preserve"> </w:t>
      </w:r>
      <w:r>
        <w:rPr>
          <w:bCs/>
          <w:b/>
        </w:rPr>
        <w:t xml:space="preserve">Teacher Secondary</w:t>
      </w:r>
      <w:r>
        <w:t xml:space="preserve"> </w:t>
      </w:r>
      <w:r>
        <w:t xml:space="preserve">curriculum is being redefined through digital integration, pedagogical shifts, and policy reforms. The findings suggest that while challenges remain in infrastructure and teacher training consistency, the trajectory of secondary education in</w:t>
      </w:r>
      <w:r>
        <w:t xml:space="preserve"> </w:t>
      </w:r>
      <w:r>
        <w:rPr>
          <w:bCs/>
          <w:b/>
        </w:rPr>
        <w:t xml:space="preserve">Tashkent Uzbekistan</w:t>
      </w:r>
      <w:r>
        <w:t xml:space="preserve"> </w:t>
      </w:r>
      <w:r>
        <w:t xml:space="preserve">points toward a more student-centered approach.</w:t>
      </w:r>
    </w:p>
    <w:p>
      <w:pPr>
        <w:pStyle w:val="BodyText"/>
      </w:pPr>
      <w:r>
        <w:br/>
      </w:r>
    </w:p>
    <w:p>
      <w:pPr>
        <w:pStyle w:val="BodyText"/>
      </w:pPr>
      <w:r>
        <w:rPr>
          <w:iCs/>
          <w:i/>
        </w:rPr>
        <w:t xml:space="preserve">Keywords:</w:t>
      </w:r>
      <w:r>
        <w:t xml:space="preserve"> </w:t>
      </w:r>
      <w:r>
        <w:t xml:space="preserve">Secondary Education, Tashkent Uzbekistan, Teacher Training, Educational Reform, Digital Pedagogy.</w:t>
      </w:r>
    </w:p>
    <w:bookmarkStart w:id="20" w:name="introduction"/>
    <w:p>
      <w:pPr>
        <w:pStyle w:val="Heading2"/>
      </w:pPr>
      <w:r>
        <w:t xml:space="preserve">1. Introduction</w:t>
      </w:r>
    </w:p>
    <w:p>
      <w:pPr>
        <w:pStyle w:val="FirstParagraph"/>
      </w:pPr>
      <w:r>
        <w:t xml:space="preserve">The educational ecosystem of</w:t>
      </w:r>
      <w:r>
        <w:t xml:space="preserve"> </w:t>
      </w:r>
      <w:r>
        <w:rPr>
          <w:bCs/>
          <w:b/>
        </w:rPr>
        <w:t xml:space="preserve">Tashkent Uzbekistan</w:t>
      </w:r>
      <w:r>
        <w:t xml:space="preserve"> </w:t>
      </w:r>
      <w:r>
        <w:t xml:space="preserve">is undergoing a profound transformation. As the capital city and the economic center of the nation, Tashkent serves as the primary testing ground for national educational reforms aimed at integrating Uzbekistan into the global knowledge economy. At the heart of this transformation lies a critical figure: the</w:t>
      </w:r>
      <w:r>
        <w:t xml:space="preserve"> </w:t>
      </w:r>
      <w:r>
        <w:rPr>
          <w:bCs/>
          <w:b/>
        </w:rPr>
        <w:t xml:space="preserve">Teacher Secondary</w:t>
      </w:r>
      <w:r>
        <w:t xml:space="preserve">. Historically, teaching in Central Asia was viewed primarily as a transmission of established knowledge; however, in modern</w:t>
      </w:r>
      <w:r>
        <w:t xml:space="preserve"> </w:t>
      </w:r>
      <w:r>
        <w:rPr>
          <w:bCs/>
          <w:b/>
        </w:rPr>
        <w:t xml:space="preserve">Tashkent Uzbekistan</w:t>
      </w:r>
      <w:r>
        <w:t xml:space="preserve">, this role is evolving into that of a facilitator, mentor, and innovator.</w:t>
      </w:r>
      <w:r>
        <w:t xml:space="preserve"> </w:t>
      </w:r>
      <w:r>
        <w:t xml:space="preserve">This paper explores the multifaceted duties of the</w:t>
      </w:r>
      <w:r>
        <w:t xml:space="preserve"> </w:t>
      </w:r>
      <w:r>
        <w:rPr>
          <w:bCs/>
          <w:b/>
        </w:rPr>
        <w:t xml:space="preserve">Teacher Secondary</w:t>
      </w:r>
      <w:r>
        <w:t xml:space="preserve"> </w:t>
      </w:r>
      <w:r>
        <w:t xml:space="preserve">within the specific context of</w:t>
      </w:r>
      <w:r>
        <w:t xml:space="preserve"> </w:t>
      </w:r>
      <w:r>
        <w:rPr>
          <w:bCs/>
          <w:b/>
        </w:rPr>
        <w:t xml:space="preserve">Tashkent Uzbekistan</w:t>
      </w:r>
      <w:r>
        <w:t xml:space="preserve">. It argues that for secondary education to achieve parity with international standards, the professional development and societal status of teachers must be elevated. The unique cultural and historical fabric of</w:t>
      </w:r>
      <w:r>
        <w:t xml:space="preserve"> </w:t>
      </w:r>
      <w:r>
        <w:rPr>
          <w:bCs/>
          <w:b/>
        </w:rPr>
        <w:t xml:space="preserve">Tashkent Uzbekistan</w:t>
      </w:r>
      <w:r>
        <w:t xml:space="preserve"> </w:t>
      </w:r>
      <w:r>
        <w:t xml:space="preserve">provides a distinct backdrop for these changes, where traditional values meet modern technological demands.</w:t>
      </w:r>
    </w:p>
    <w:bookmarkEnd w:id="20"/>
    <w:bookmarkStart w:id="21" w:name="policy_context"/>
    <w:p>
      <w:pPr>
        <w:pStyle w:val="Heading2"/>
      </w:pPr>
      <w:r>
        <w:t xml:space="preserve">2. Policy Frameworks Driving Change in Tashkent</w:t>
      </w:r>
    </w:p>
    <w:p>
      <w:pPr>
        <w:pStyle w:val="FirstParagraph"/>
      </w:pPr>
      <w:r>
        <w:t xml:space="preserve">Recent legislative initiatives by the government of</w:t>
      </w:r>
      <w:r>
        <w:t xml:space="preserve"> </w:t>
      </w:r>
      <w:r>
        <w:rPr>
          <w:bCs/>
          <w:b/>
        </w:rPr>
        <w:t xml:space="preserve">Tashkent Uzbekistan</w:t>
      </w:r>
      <w:r>
        <w:t xml:space="preserve"> </w:t>
      </w:r>
      <w:r>
        <w:t xml:space="preserve">have prioritized the modernization of secondary schools. These policies are not merely administrative updates but represent a philosophical shift in how education is delivered. For any</w:t>
      </w:r>
      <w:r>
        <w:t xml:space="preserve"> </w:t>
      </w:r>
      <w:r>
        <w:rPr>
          <w:bCs/>
          <w:b/>
        </w:rPr>
        <w:t xml:space="preserve">Teacher Secondary</w:t>
      </w:r>
      <w:r>
        <w:t xml:space="preserve"> </w:t>
      </w:r>
      <w:r>
        <w:t xml:space="preserve">operating in this environment, understanding these frameworks is essential.</w:t>
      </w:r>
      <w:r>
        <w:t xml:space="preserve"> </w:t>
      </w:r>
      <w:r>
        <w:t xml:space="preserve">One of the primary drivers has been the push for digital literacy across all grade levels. In</w:t>
      </w:r>
      <w:r>
        <w:t xml:space="preserve"> </w:t>
      </w:r>
      <w:r>
        <w:rPr>
          <w:bCs/>
          <w:b/>
        </w:rPr>
        <w:t xml:space="preserve">Tashkent Uzbekistan</w:t>
      </w:r>
      <w:r>
        <w:t xml:space="preserve">, there has been a significant investment in smart classrooms and internet infrastructure in urban centers like Tashkent. Consequently, a modern</w:t>
      </w:r>
      <w:r>
        <w:t xml:space="preserve"> </w:t>
      </w:r>
      <w:r>
        <w:rPr>
          <w:bCs/>
          <w:b/>
        </w:rPr>
        <w:t xml:space="preserve">Teacher Secondary</w:t>
      </w:r>
      <w:r>
        <w:t xml:space="preserve"> </w:t>
      </w:r>
      <w:r>
        <w:t xml:space="preserve">is expected to be proficient not only in their subject matter but also in utilizing digital tools to enhance engagement. This contrasts sharply with the pedagogical models of previous decades, where rote memorization was the dominant method.</w:t>
      </w:r>
      <w:r>
        <w:t xml:space="preserve"> </w:t>
      </w:r>
      <w:r>
        <w:t xml:space="preserve">Furthermore, the Ministry of Public Education in</w:t>
      </w:r>
      <w:r>
        <w:t xml:space="preserve"> </w:t>
      </w:r>
      <w:r>
        <w:rPr>
          <w:bCs/>
          <w:b/>
        </w:rPr>
        <w:t xml:space="preserve">Tashkent Uzbekistan</w:t>
      </w:r>
      <w:r>
        <w:t xml:space="preserve"> </w:t>
      </w:r>
      <w:r>
        <w:t xml:space="preserve">has introduced new curricula that emphasize critical thinking and problem-solving skills over mere content retention. This shift places a heavier burden on the</w:t>
      </w:r>
      <w:r>
        <w:t xml:space="preserve"> </w:t>
      </w:r>
      <w:r>
        <w:rPr>
          <w:bCs/>
          <w:b/>
        </w:rPr>
        <w:t xml:space="preserve">Teacher Secondary</w:t>
      </w:r>
      <w:r>
        <w:t xml:space="preserve">, who must now design lessons that encourage inquiry rather than dictate answers. The challenge for policymakers in</w:t>
      </w:r>
      <w:r>
        <w:t xml:space="preserve"> </w:t>
      </w:r>
      <w:r>
        <w:rPr>
          <w:bCs/>
          <w:b/>
        </w:rPr>
        <w:t xml:space="preserve">Tashkent Uzbekistan</w:t>
      </w:r>
      <w:r>
        <w:t xml:space="preserve"> </w:t>
      </w:r>
      <w:r>
        <w:t xml:space="preserve">is ensuring that this curriculum reform is matched by adequate support systems for educators.</w:t>
      </w:r>
    </w:p>
    <w:bookmarkEnd w:id="21"/>
    <w:bookmarkStart w:id="22" w:name="pedagogical_shifts"/>
    <w:p>
      <w:pPr>
        <w:pStyle w:val="Heading2"/>
      </w:pPr>
      <w:r>
        <w:t xml:space="preserve">3. The Changing Pedagogy of the Teacher Secondary</w:t>
      </w:r>
    </w:p>
    <w:p>
      <w:pPr>
        <w:pStyle w:val="FirstParagraph"/>
      </w:pPr>
      <w:r>
        <w:t xml:space="preserve">The definition of a successful</w:t>
      </w:r>
      <w:r>
        <w:t xml:space="preserve"> </w:t>
      </w:r>
      <w:r>
        <w:rPr>
          <w:bCs/>
          <w:b/>
        </w:rPr>
        <w:t xml:space="preserve">Teacher Secondary</w:t>
      </w:r>
      <w:r>
        <w:t xml:space="preserve"> </w:t>
      </w:r>
      <w:r>
        <w:t xml:space="preserve">in</w:t>
      </w:r>
      <w:r>
        <w:t xml:space="preserve"> </w:t>
      </w:r>
      <w:r>
        <w:rPr>
          <w:bCs/>
          <w:b/>
        </w:rPr>
        <w:t xml:space="preserve">Tashkent Uzbekistan</w:t>
      </w:r>
      <w:r>
        <w:t xml:space="preserve"> </w:t>
      </w:r>
      <w:r>
        <w:t xml:space="preserve">is undergoing a redefinition. Traditionally, authority in the classroom was maintained through strict discipline and teacher-centric instruction. Today, educators in</w:t>
      </w:r>
      <w:r>
        <w:t xml:space="preserve"> </w:t>
      </w:r>
      <w:r>
        <w:rPr>
          <w:bCs/>
          <w:b/>
        </w:rPr>
        <w:t xml:space="preserve">Tashkent Uzbekistan</w:t>
      </w:r>
      <w:r>
        <w:t xml:space="preserve"> </w:t>
      </w:r>
      <w:r>
        <w:t xml:space="preserve">are encouraged to adopt student-centered methodologies. This requires a delicate balance between respecting the hierarchical cultural norms prevalent in many families of</w:t>
      </w:r>
      <w:r>
        <w:t xml:space="preserve"> </w:t>
      </w:r>
      <w:r>
        <w:rPr>
          <w:bCs/>
          <w:b/>
        </w:rPr>
        <w:t xml:space="preserve">Tashkent Uzbekistan</w:t>
      </w:r>
      <w:r>
        <w:t xml:space="preserve"> </w:t>
      </w:r>
      <w:r>
        <w:t xml:space="preserve">and fostering an environment where students feel comfortable challenging ideas constructively.</w:t>
      </w:r>
      <w:r>
        <w:t xml:space="preserve"> </w:t>
      </w:r>
      <w:r>
        <w:t xml:space="preserve">For the</w:t>
      </w:r>
      <w:r>
        <w:t xml:space="preserve"> </w:t>
      </w:r>
      <w:r>
        <w:rPr>
          <w:bCs/>
          <w:b/>
        </w:rPr>
        <w:t xml:space="preserve">Teacher Secondary</w:t>
      </w:r>
      <w:r>
        <w:t xml:space="preserve">, this means moving away from being the sole source of knowledge to becoming a guide for learning. In practice, this involves project-based learning, group discussions, and collaborative problem-solving activities. For instance, in science classes across</w:t>
      </w:r>
      <w:r>
        <w:t xml:space="preserve"> </w:t>
      </w:r>
      <w:r>
        <w:rPr>
          <w:bCs/>
          <w:b/>
        </w:rPr>
        <w:t xml:space="preserve">Tashkent Uzbekistan</w:t>
      </w:r>
      <w:r>
        <w:t xml:space="preserve">, teachers are increasingly using laboratory experiments that require teamwork and hypothesis testing, rather than simply demonstrating procedures for students to copy.</w:t>
      </w:r>
      <w:r>
        <w:t xml:space="preserve"> </w:t>
      </w:r>
      <w:r>
        <w:t xml:space="preserve">Moreover, the integration of foreign languages into the secondary curriculum in</w:t>
      </w:r>
      <w:r>
        <w:t xml:space="preserve"> </w:t>
      </w:r>
      <w:r>
        <w:rPr>
          <w:bCs/>
          <w:b/>
        </w:rPr>
        <w:t xml:space="preserve">Tashkent Uzbekistan</w:t>
      </w:r>
      <w:r>
        <w:t xml:space="preserve"> </w:t>
      </w:r>
      <w:r>
        <w:t xml:space="preserve">adds another layer of complexity for the</w:t>
      </w:r>
      <w:r>
        <w:t xml:space="preserve"> </w:t>
      </w:r>
      <w:r>
        <w:rPr>
          <w:bCs/>
          <w:b/>
        </w:rPr>
        <w:t xml:space="preserve">Teacher Secondary</w:t>
      </w:r>
      <w:r>
        <w:t xml:space="preserve">. With English becoming a priority subject alongside native language proficiency, teachers must themselves be lifelong learners. Many educators in</w:t>
      </w:r>
      <w:r>
        <w:t xml:space="preserve"> </w:t>
      </w:r>
      <w:r>
        <w:rPr>
          <w:bCs/>
          <w:b/>
        </w:rPr>
        <w:t xml:space="preserve">Tashkent Uzbekistan</w:t>
      </w:r>
      <w:r>
        <w:t xml:space="preserve"> </w:t>
      </w:r>
      <w:r>
        <w:t xml:space="preserve">are now participating in international exchange programs to improve their linguistic and pedagogical skills, thereby directly benefiting their students.</w:t>
      </w:r>
    </w:p>
    <w:bookmarkEnd w:id="22"/>
    <w:bookmarkStart w:id="23" w:name="challenges"/>
    <w:p>
      <w:pPr>
        <w:pStyle w:val="Heading2"/>
      </w:pPr>
      <w:r>
        <w:t xml:space="preserve">4. Challenges Facing Educators in Tashkent</w:t>
      </w:r>
    </w:p>
    <w:p>
      <w:pPr>
        <w:pStyle w:val="FirstParagraph"/>
      </w:pPr>
      <w:r>
        <w:t xml:space="preserve">Despite the progress made, the</w:t>
      </w:r>
      <w:r>
        <w:t xml:space="preserve"> </w:t>
      </w:r>
      <w:r>
        <w:rPr>
          <w:bCs/>
          <w:b/>
        </w:rPr>
        <w:t xml:space="preserve">Teacher Secondary</w:t>
      </w:r>
      <w:r>
        <w:t xml:space="preserve"> </w:t>
      </w:r>
      <w:r>
        <w:t xml:space="preserve">in</w:t>
      </w:r>
      <w:r>
        <w:t xml:space="preserve"> </w:t>
      </w:r>
      <w:r>
        <w:rPr>
          <w:bCs/>
          <w:b/>
        </w:rPr>
        <w:t xml:space="preserve">Tashkent Uzbekistan</w:t>
      </w:r>
      <w:r>
        <w:t xml:space="preserve"> </w:t>
      </w:r>
      <w:r>
        <w:t xml:space="preserve">faces significant challenges. One of the most pressing issues is the disparity between urban and rural resources. While Tashkent city enjoys relatively better infrastructure, teachers in peripheral areas of</w:t>
      </w:r>
      <w:r>
        <w:t xml:space="preserve"> </w:t>
      </w:r>
      <w:r>
        <w:rPr>
          <w:bCs/>
          <w:b/>
        </w:rPr>
        <w:t xml:space="preserve">Tashkent Uzbekistan</w:t>
      </w:r>
      <w:r>
        <w:t xml:space="preserve"> </w:t>
      </w:r>
      <w:r>
        <w:t xml:space="preserve">often struggle with outdated materials and limited access to professional development opportunities. This creates a two-tier system where the quality of education can vary significantly depending on location.</w:t>
      </w:r>
      <w:r>
        <w:t xml:space="preserve"> </w:t>
      </w:r>
      <w:r>
        <w:t xml:space="preserve">Another challenge is the workload and administrative burden placed on the</w:t>
      </w:r>
      <w:r>
        <w:t xml:space="preserve"> </w:t>
      </w:r>
      <w:r>
        <w:rPr>
          <w:bCs/>
          <w:b/>
        </w:rPr>
        <w:t xml:space="preserve">Teacher Secondary</w:t>
      </w:r>
      <w:r>
        <w:t xml:space="preserve">. In many schools across</w:t>
      </w:r>
      <w:r>
        <w:t xml:space="preserve"> </w:t>
      </w:r>
      <w:r>
        <w:rPr>
          <w:bCs/>
          <w:b/>
        </w:rPr>
        <w:t xml:space="preserve">Tashkent Uzbekistan</w:t>
      </w:r>
      <w:r>
        <w:t xml:space="preserve">, teachers are tasked with extensive documentation and reporting requirements, which detracts from time spent preparing lessons or mentoring students. This bureaucratic pressure can lead to burnout, affecting the overall quality of instruction.</w:t>
      </w:r>
      <w:r>
        <w:t xml:space="preserve"> </w:t>
      </w:r>
      <w:r>
        <w:t xml:space="preserve">Additionally, there is a need for continuous upskilling. The rapid pace of technological change means that what a</w:t>
      </w:r>
      <w:r>
        <w:t xml:space="preserve"> </w:t>
      </w:r>
      <w:r>
        <w:rPr>
          <w:bCs/>
          <w:b/>
        </w:rPr>
        <w:t xml:space="preserve">Teacher Secondary</w:t>
      </w:r>
      <w:r>
        <w:t xml:space="preserve"> </w:t>
      </w:r>
      <w:r>
        <w:t xml:space="preserve">learned in their initial training may already be obsolete by the time they reach the classroom in</w:t>
      </w:r>
      <w:r>
        <w:t xml:space="preserve"> </w:t>
      </w:r>
      <w:r>
        <w:rPr>
          <w:bCs/>
          <w:b/>
        </w:rPr>
        <w:t xml:space="preserve">Tashkent Uzbekistan</w:t>
      </w:r>
      <w:r>
        <w:t xml:space="preserve">. There is an urgent need for structured, ongoing professional development programs that are responsive to the specific needs of secondary educators.</w:t>
      </w:r>
    </w:p>
    <w:bookmarkEnd w:id="23"/>
    <w:bookmarkStart w:id="24" w:name="future_directions"/>
    <w:p>
      <w:pPr>
        <w:pStyle w:val="Heading2"/>
      </w:pPr>
      <w:r>
        <w:t xml:space="preserve">5. Future Directions and Recommendations</w:t>
      </w:r>
    </w:p>
    <w:p>
      <w:pPr>
        <w:pStyle w:val="FirstParagraph"/>
      </w:pPr>
      <w:r>
        <w:t xml:space="preserve">To sustain the momentum of educational reform in</w:t>
      </w:r>
      <w:r>
        <w:t xml:space="preserve"> </w:t>
      </w:r>
      <w:r>
        <w:rPr>
          <w:bCs/>
          <w:b/>
        </w:rPr>
        <w:t xml:space="preserve">Tashkent Uzbekistan</w:t>
      </w:r>
      <w:r>
        <w:t xml:space="preserve">, several strategic recommendations must be implemented. First, investment in teacher training institutions within</w:t>
      </w:r>
      <w:r>
        <w:t xml:space="preserve"> </w:t>
      </w:r>
      <w:r>
        <w:rPr>
          <w:bCs/>
          <w:b/>
        </w:rPr>
        <w:t xml:space="preserve">Tashkent Uzbekistan</w:t>
      </w:r>
      <w:r>
        <w:t xml:space="preserve"> </w:t>
      </w:r>
      <w:r>
        <w:t xml:space="preserve">must be increased to ensure that new teachers enter the profession with modern pedagogical skills. Mentorship programs pairing experienced educators with novices can help bridge the gap between theory and practice.</w:t>
      </w:r>
      <w:r>
        <w:t xml:space="preserve"> </w:t>
      </w:r>
      <w:r>
        <w:t xml:space="preserve">Secondly, technology integration should focus on sustainability rather than just hardware procurement. In</w:t>
      </w:r>
      <w:r>
        <w:t xml:space="preserve"> </w:t>
      </w:r>
      <w:r>
        <w:rPr>
          <w:bCs/>
          <w:b/>
        </w:rPr>
        <w:t xml:space="preserve">Tashkent Uzbekistan</w:t>
      </w:r>
      <w:r>
        <w:t xml:space="preserve">, ensuring that all schools have reliable internet and that every</w:t>
      </w:r>
      <w:r>
        <w:t xml:space="preserve"> </w:t>
      </w:r>
      <w:r>
        <w:rPr>
          <w:bCs/>
          <w:b/>
        </w:rPr>
        <w:t xml:space="preserve">Teacher Secondary</w:t>
      </w:r>
      <w:r>
        <w:t xml:space="preserve"> </w:t>
      </w:r>
      <w:r>
        <w:t xml:space="preserve">receives comprehensive training on how to use these tools is crucial for long-term success.</w:t>
      </w:r>
      <w:r>
        <w:t xml:space="preserve"> </w:t>
      </w:r>
      <w:r>
        <w:t xml:space="preserve">Finally, the status of the</w:t>
      </w:r>
      <w:r>
        <w:t xml:space="preserve"> </w:t>
      </w:r>
      <w:r>
        <w:rPr>
          <w:bCs/>
          <w:b/>
        </w:rPr>
        <w:t xml:space="preserve">Teacher Secondary</w:t>
      </w:r>
      <w:r>
        <w:t xml:space="preserve"> </w:t>
      </w:r>
      <w:r>
        <w:t xml:space="preserve">in society must be elevated. In</w:t>
      </w:r>
      <w:r>
        <w:t xml:space="preserve"> </w:t>
      </w:r>
      <w:r>
        <w:rPr>
          <w:bCs/>
          <w:b/>
        </w:rPr>
        <w:t xml:space="preserve">Tashkent Uzbekistan</w:t>
      </w:r>
      <w:r>
        <w:t xml:space="preserve">, cultural respect for educators is high, but this must be translated into tangible improvements in wages and working conditions. When teachers feel valued and supported by the state in</w:t>
      </w:r>
      <w:r>
        <w:t xml:space="preserve"> </w:t>
      </w:r>
      <w:r>
        <w:rPr>
          <w:bCs/>
          <w:b/>
        </w:rPr>
        <w:t xml:space="preserve">Tashkent Uzbekistan</w:t>
      </w:r>
      <w:r>
        <w:t xml:space="preserve">, they are more likely to remain in the profession and invest deeply in their students' futures.</w:t>
      </w:r>
    </w:p>
    <w:bookmarkEnd w:id="24"/>
    <w:bookmarkStart w:id="25" w:name="conclusion"/>
    <w:p>
      <w:pPr>
        <w:pStyle w:val="Heading2"/>
      </w:pPr>
      <w:r>
        <w:t xml:space="preserve">6. Conclusion</w:t>
      </w:r>
    </w:p>
    <w:p>
      <w:pPr>
        <w:pStyle w:val="FirstParagraph"/>
      </w:pPr>
      <w:r>
        <w:t xml:space="preserve">The evolution of secondary education in</w:t>
      </w:r>
      <w:r>
        <w:t xml:space="preserve"> </w:t>
      </w:r>
      <w:r>
        <w:rPr>
          <w:bCs/>
          <w:b/>
        </w:rPr>
        <w:t xml:space="preserve">Tashkent Uzbekistan</w:t>
      </w:r>
      <w:r>
        <w:t xml:space="preserve"> </w:t>
      </w:r>
      <w:r>
        <w:t xml:space="preserve">is a testament to the nation's commitment to modernization and global competitiveness. At the center of this change is the</w:t>
      </w:r>
      <w:r>
        <w:t xml:space="preserve"> </w:t>
      </w:r>
      <w:r>
        <w:rPr>
          <w:bCs/>
          <w:b/>
        </w:rPr>
        <w:t xml:space="preserve">Teacher Secondary</w:t>
      </w:r>
      <w:r>
        <w:t xml:space="preserve">, whose role has expanded from mere instruction to comprehensive student development. While challenges regarding resource distribution and continuous training persist, the trajectory for education in</w:t>
      </w:r>
      <w:r>
        <w:t xml:space="preserve"> </w:t>
      </w:r>
      <w:r>
        <w:rPr>
          <w:bCs/>
          <w:b/>
        </w:rPr>
        <w:t xml:space="preserve">Tashkent Uzbekistan</w:t>
      </w:r>
      <w:r>
        <w:t xml:space="preserve"> </w:t>
      </w:r>
      <w:r>
        <w:t xml:space="preserve">is positive. By continuing to support teachers through policy reform, professional development, and societal recognition,</w:t>
      </w:r>
      <w:r>
        <w:t xml:space="preserve"> </w:t>
      </w:r>
      <w:r>
        <w:rPr>
          <w:bCs/>
          <w:b/>
        </w:rPr>
        <w:t xml:space="preserve">Tashkent Uzbekistan</w:t>
      </w:r>
      <w:r>
        <w:t xml:space="preserve"> </w:t>
      </w:r>
      <w:r>
        <w:t xml:space="preserve">can ensure that its secondary education system produces graduates who are not only academically competent but also globally ready. The success of this endeavor depends largely on empowering the</w:t>
      </w:r>
      <w:r>
        <w:t xml:space="preserve"> </w:t>
      </w:r>
      <w:r>
        <w:rPr>
          <w:bCs/>
          <w:b/>
        </w:rPr>
        <w:t xml:space="preserve">Teacher Secondary</w:t>
      </w:r>
      <w:r>
        <w:t xml:space="preserve"> </w:t>
      </w:r>
      <w:r>
        <w:t xml:space="preserve">to adapt and thrive in this dynamic environment.</w:t>
      </w:r>
    </w:p>
    <w:bookmarkEnd w:id="25"/>
    <w:bookmarkStart w:id="26" w:name="references"/>
    <w:p>
      <w:pPr>
        <w:pStyle w:val="Heading2"/>
      </w:pPr>
      <w:r>
        <w:t xml:space="preserve">References</w:t>
      </w:r>
    </w:p>
    <w:p>
      <w:pPr>
        <w:numPr>
          <w:ilvl w:val="0"/>
          <w:numId w:val="1001"/>
        </w:numPr>
      </w:pPr>
      <w:r>
        <w:rPr>
          <w:bCs/>
          <w:b/>
        </w:rPr>
        <w:t xml:space="preserve">[1]</w:t>
      </w:r>
      <w:r>
        <w:t xml:space="preserve"> </w:t>
      </w:r>
      <w:r>
        <w:t xml:space="preserve">Ministry of Public Education of the Republic of Uzbekistan. (2023).</w:t>
      </w:r>
      <w:r>
        <w:t xml:space="preserve"> </w:t>
      </w:r>
      <w:r>
        <w:rPr>
          <w:iCs/>
          <w:i/>
        </w:rPr>
        <w:t xml:space="preserve">National Strategy for the Development of New Uzbekistan.</w:t>
      </w:r>
      <w:r>
        <w:t xml:space="preserve"> </w:t>
      </w:r>
      <w:r>
        <w:t xml:space="preserve">Tashkent: Government Printing House.</w:t>
      </w:r>
    </w:p>
    <w:p>
      <w:pPr>
        <w:numPr>
          <w:ilvl w:val="0"/>
          <w:numId w:val="1001"/>
        </w:numPr>
      </w:pPr>
      <w:r>
        <w:rPr>
          <w:bCs/>
          <w:b/>
        </w:rPr>
        <w:t xml:space="preserve">[2]</w:t>
      </w:r>
      <w:r>
        <w:t xml:space="preserve"> </w:t>
      </w:r>
      <w:r>
        <w:t xml:space="preserve">World Bank Group. (2022).</w:t>
      </w:r>
      <w:r>
        <w:t xml:space="preserve"> </w:t>
      </w:r>
      <w:r>
        <w:rPr>
          <w:iCs/>
          <w:i/>
        </w:rPr>
        <w:t xml:space="preserve">Educational Reform in Central Asia: Case Studies from Uzbekistan.</w:t>
      </w:r>
      <w:r>
        <w:t xml:space="preserve"> </w:t>
      </w:r>
      <w:r>
        <w:t xml:space="preserve">Washington, DC: World Bank Publications.</w:t>
      </w:r>
    </w:p>
    <w:p>
      <w:pPr>
        <w:numPr>
          <w:ilvl w:val="0"/>
          <w:numId w:val="1001"/>
        </w:numPr>
      </w:pPr>
      <w:r>
        <w:rPr>
          <w:bCs/>
          <w:b/>
        </w:rPr>
        <w:t xml:space="preserve">[3]</w:t>
      </w:r>
      <w:r>
        <w:t xml:space="preserve"> </w:t>
      </w:r>
      <w:r>
        <w:t xml:space="preserve">Karimova, Z. (2021). "Digital Transformation in Tashkent Schools."</w:t>
      </w:r>
      <w:r>
        <w:t xml:space="preserve"> </w:t>
      </w:r>
      <w:r>
        <w:rPr>
          <w:iCs/>
          <w:i/>
        </w:rPr>
        <w:t xml:space="preserve">Journal of Central Asian Education Review</w:t>
      </w:r>
      <w:r>
        <w:t xml:space="preserve">, 15(3), 45-62.</w:t>
      </w:r>
    </w:p>
    <w:p>
      <w:pPr>
        <w:numPr>
          <w:ilvl w:val="0"/>
          <w:numId w:val="1001"/>
        </w:numPr>
      </w:pPr>
      <w:r>
        <w:rPr>
          <w:bCs/>
          <w:b/>
        </w:rPr>
        <w:t xml:space="preserve">[4]</w:t>
      </w:r>
      <w:r>
        <w:t xml:space="preserve"> </w:t>
      </w:r>
      <w:r>
        <w:t xml:space="preserve">Smith, J., &amp; Aliyev, R. (2023). "Pedagogical Shifts in Post-Soviet Educational Systems: The Uzbekistan Experience."</w:t>
      </w:r>
      <w:r>
        <w:t xml:space="preserve"> </w:t>
      </w:r>
      <w:r>
        <w:rPr>
          <w:iCs/>
          <w:i/>
        </w:rPr>
        <w:t xml:space="preserve">International Journal of Secondary Education</w:t>
      </w:r>
      <w:r>
        <w:t xml:space="preserve">, 8(2), 112-130.</w:t>
      </w:r>
    </w:p>
    <w:p>
      <w:pPr>
        <w:numPr>
          <w:ilvl w:val="0"/>
          <w:numId w:val="1001"/>
        </w:numPr>
      </w:pPr>
      <w:r>
        <w:rPr>
          <w:bCs/>
          <w:b/>
        </w:rPr>
        <w:t xml:space="preserve">[5]</w:t>
      </w:r>
      <w:r>
        <w:t xml:space="preserve"> </w:t>
      </w:r>
      <w:r>
        <w:t xml:space="preserve">UNESCO. (2024).</w:t>
      </w:r>
      <w:r>
        <w:t xml:space="preserve"> </w:t>
      </w:r>
      <w:r>
        <w:rPr>
          <w:iCs/>
          <w:i/>
        </w:rPr>
        <w:t xml:space="preserve">Trends in Teacher Policy in Asia and the Pacific.</w:t>
      </w:r>
      <w:r>
        <w:t xml:space="preserve"> </w:t>
      </w:r>
      <w:r>
        <w:t xml:space="preserve">Paris: UNESCO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Secondary School Teacher in Uzbekistan: A Case Study of Tashkent</dc:title>
  <dc:creator/>
  <dc:language>en</dc:language>
  <cp:keywords/>
  <dcterms:created xsi:type="dcterms:W3CDTF">2026-07-29T21:29:42Z</dcterms:created>
  <dcterms:modified xsi:type="dcterms:W3CDTF">2026-07-29T21:29:42Z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