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w:t>
      </w:r>
      <w:r>
        <w:t xml:space="preserve"> </w:t>
      </w:r>
      <w:r>
        <w:t xml:space="preserve">Globalized</w:t>
      </w:r>
      <w:r>
        <w:t xml:space="preserve"> </w:t>
      </w:r>
      <w:r>
        <w:t xml:space="preserve">Academic</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Toronto</w:t>
      </w:r>
    </w:p>
    <w:bookmarkStart w:id="31" w:name="Xc217c2f7add2a6e36d2ce971ab6084da098c9fc"/>
    <w:p>
      <w:pPr>
        <w:pStyle w:val="Heading1"/>
      </w:pPr>
      <w:r>
        <w:t xml:space="preserve">The Evolving Role of the University Lecturer in a Globalized Academic Landscape: A Case Study of Canada Toronto</w:t>
      </w:r>
    </w:p>
    <w:p>
      <w:pPr>
        <w:pStyle w:val="FirstParagraph"/>
      </w:pPr>
      <w:r>
        <w:rPr>
          <w:iCs/>
          <w:i/>
          <w:bCs/>
          <w:b/>
        </w:rPr>
        <w:t xml:space="preserve">Nicholas James</w:t>
      </w:r>
      <w:r>
        <w:br/>
      </w:r>
      <w:r>
        <w:rPr>
          <w:iCs/>
          <w:i/>
          <w:bCs/>
          <w:b/>
        </w:rPr>
        <w:t xml:space="preserve">Institute for Advanced Educational Studies</w:t>
      </w:r>
      <w:r>
        <w:br/>
      </w:r>
      <w:r>
        <w:rPr>
          <w:iCs/>
          <w:i/>
          <w:bCs/>
          <w:b/>
        </w:rPr>
        <w:t xml:space="preserve">Toronto, ON, Canada</w:t>
      </w:r>
      <w:r>
        <w:br/>
      </w:r>
      <w:r>
        <w:rPr>
          <w:iCs/>
          <w:i/>
          <w:bCs/>
          <w:b/>
        </w:rPr>
        <w:t xml:space="preserve">james.n@academia.ca</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dynamic and multifaceted role of the University Lecturer within the contemporary higher education sector. With a specific focus on Canada Toronto, this study examines how geographical location influences pedagogical strategies, research expectations, and administrative responsibilities. As urban centers like Toronto evolve into global hubs for innovation and diversity, university lecturers are increasingly required to act as educators, researchers, community partners simultaneously. This paper argues that the modern University Lecturer must adopt an integrative approach to their professional identity to effectively navigate the challenges posed by globalization while maintaining academic integrity and fostering student success. Through a review of current literature and observational data from Toronto-based institutions, we outline emerging trends in higher education pedagogy.</w:t>
      </w:r>
    </w:p>
    <w:bookmarkEnd w:id="20"/>
    <w:bookmarkStart w:id="21" w:name="introduction"/>
    <w:p>
      <w:pPr>
        <w:pStyle w:val="Heading2"/>
      </w:pPr>
      <w:r>
        <w:t xml:space="preserve">1. Introduction</w:t>
      </w:r>
    </w:p>
    <w:p>
      <w:pPr>
        <w:pStyle w:val="FirstParagraph"/>
      </w:pPr>
      <w:r>
        <w:t xml:space="preserve">The landscape of higher education has undergone significant transformation over the past three decades. No longer confined to the ivory tower model where teaching and research were distinct silos, academia is now a complex ecosystem where faculty members are expected to excel in multiple domains simultaneously. At the forefront of this change is the role of the University Lecturer. In many institutions, particularly those utilizing a non-tenure-track or sessional model, lecturers bear the brunt of undergraduate teaching while also contributing to scholarly output and service.</w:t>
      </w:r>
    </w:p>
    <w:p>
      <w:pPr>
        <w:pStyle w:val="BodyText"/>
      </w:pPr>
      <w:r>
        <w:t xml:space="preserve">Toronto, Canada’s largest city and a cultural powerhouse in North America, provides a unique microcosm for examining these changes. As home to world-renowned institutions such as the University of Toronto (U of T), York University, and Ryerson University (now Toronto Metropolitan University), Canada Toronto represents an intersection of intense academic rigor and diverse student demographics. This paper aims to define the contemporary identity of the Canadian university lecturer, analyzing how local contextual factors in Canada shape their professional responsibilities.</w:t>
      </w:r>
    </w:p>
    <w:bookmarkEnd w:id="21"/>
    <w:bookmarkStart w:id="25" w:name="X1919f2eb7e19ceecffb56b0a89634fda089265d"/>
    <w:p>
      <w:pPr>
        <w:pStyle w:val="Heading2"/>
      </w:pPr>
      <w:r>
        <w:t xml:space="preserve">2. The Tripartite Mandate: Teaching, Research, and Service</w:t>
      </w:r>
    </w:p>
    <w:p>
      <w:pPr>
        <w:pStyle w:val="FirstParagraph"/>
      </w:pPr>
      <w:r>
        <w:t xml:space="preserve">The traditional tripartite mandate of academia—teaching, research, and service—remains the standard framework for evaluating academic performance. However, the weight assigned to each pillar is shifting rapidly.</w:t>
      </w:r>
    </w:p>
    <w:bookmarkStart w:id="22" w:name="X5d24e64e29d06e6e5265643eb9a803d8d3ef5ca"/>
    <w:p>
      <w:pPr>
        <w:pStyle w:val="Heading3"/>
      </w:pPr>
      <w:r>
        <w:t xml:space="preserve">2.1 The Pedagogical Shift in Higher Education</w:t>
      </w:r>
    </w:p>
    <w:p>
      <w:pPr>
        <w:pStyle w:val="FirstParagraph"/>
      </w:pPr>
      <w:r>
        <w:t xml:space="preserve">The role of the University Lecturer has transitioned from that of a "sage on the stage" to a "guide on the side." In Canada Toronto, this shift is driven by student populations that are increasingly non-traditional, diverse, and digitally native. Modern pedagogies emphasize active learning, critical thinking over rote memorization. The University Lecturer is now required to be instructional designer as well as subject matter expert.</w:t>
      </w:r>
    </w:p>
    <w:p>
      <w:pPr>
        <w:pStyle w:val="BodyText"/>
      </w:pPr>
      <w:r>
        <w:t xml:space="preserve">Data suggests that in institutions across Canada Toronto, lecturers spend a disproportionate amount of time managing large undergraduate cohorts (often exceeding 100 students). This necessitates the development of scalable assessment methods and digital literacy skills. The lecturer must utilize Learning Management Systems (LMS) to deliver content effectively, often requiring additional training outside their specific discipline.</w:t>
      </w:r>
    </w:p>
    <w:bookmarkEnd w:id="22"/>
    <w:bookmarkStart w:id="23" w:name="Xe10765a14b8f787c8046f9c87f85806c99ee8ba"/>
    <w:p>
      <w:pPr>
        <w:pStyle w:val="Heading3"/>
      </w:pPr>
      <w:r>
        <w:t xml:space="preserve">2.2 Research Expectations in a Teaching-Focused Context</w:t>
      </w:r>
    </w:p>
    <w:p>
      <w:pPr>
        <w:pStyle w:val="FirstParagraph"/>
      </w:pPr>
      <w:r>
        <w:t xml:space="preserve">A contentious aspect of the modern academic career path is the expectation for University Lecturers to maintain an active research portfolio. While this holds true for tenure-track faculty at major Canadian institutions, it poses significant challenges for those hired primarily to teach. In Canada Toronto, where competition for research grants is fierce and funding bodies like CIHR (Canadian Institutes of Health Research) and SSHRC (Social Sciences and Humanities Research Council) operate with rigorous standards, lecturers often face pressure to publish in high-impact journals despite heavy teaching loads.</w:t>
      </w:r>
    </w:p>
    <w:bookmarkEnd w:id="23"/>
    <w:bookmarkStart w:id="24" w:name="service-the-invisible-workload"/>
    <w:p>
      <w:pPr>
        <w:pStyle w:val="Heading3"/>
      </w:pPr>
      <w:r>
        <w:t xml:space="preserve">2.3 Service: The Invisible Workload</w:t>
      </w:r>
    </w:p>
    <w:p>
      <w:pPr>
        <w:pStyle w:val="FirstParagraph"/>
      </w:pPr>
      <w:r>
        <w:t xml:space="preserve">Beyond the classroom, University Lecturers serve as advisors, mentors, and community liaisons. In a multicultural hub like Toronto Canada service extends to navigating complex student needs related to immigration status, mental health support due to the cost-of-living crisis in Ontario cities. This invisible workload is rarely quantified in annual reviews but consumes significant time and emotional labor.</w:t>
      </w:r>
    </w:p>
    <w:bookmarkEnd w:id="24"/>
    <w:bookmarkEnd w:id="25"/>
    <w:bookmarkStart w:id="26" w:name="Xedb9e66a7d34e8f2807afd378f54a1eabfa220a"/>
    <w:p>
      <w:pPr>
        <w:pStyle w:val="Heading2"/>
      </w:pPr>
      <w:r>
        <w:t xml:space="preserve">3. The Toronto Context: Diversity and Globalization</w:t>
      </w:r>
    </w:p>
    <w:p>
      <w:pPr>
        <w:pStyle w:val="FirstParagraph"/>
      </w:pPr>
      <w:r>
        <w:t xml:space="preserve">To understand the specific role of a University Lecturer in Canada Toronto, one must appreciate the demographic reality of the region. Toronto is one of the most multicultural cities on Earth, with residents originating from over 200 countries and speaking more than 160 languages. This diversity profoundly impacts pedagogical strategies.</w:t>
      </w:r>
    </w:p>
    <w:p>
      <w:pPr>
        <w:pStyle w:val="BodyText"/>
      </w:pPr>
      <w:r>
        <w:t xml:space="preserve">Lecturers operating within this context cannot adopt a "one size fits all" teaching methodology. They must employ inclusive pedagogy that acknowledges varied cultural perspectives on authority, learning styles, and communication. For instance, understanding the educational backgrounds of international students is crucial for effective mentoring.</w:t>
      </w:r>
    </w:p>
    <w:p>
      <w:pPr>
        <w:pStyle w:val="BodyText"/>
      </w:pPr>
      <w:r>
        <w:t xml:space="preserve">The global nature of Canada Toronto also means that curriculum design must be internationally relevant. University Lecturers are tasked with integrating global case studies into local courses to prepare students for a multinational workforce. Whether teaching business ethics or environmental policy, the lecturer must connect theoretical frameworks to real-world scenarios that resonate in both North American and international contexts.</w:t>
      </w:r>
    </w:p>
    <w:bookmarkEnd w:id="26"/>
    <w:bookmarkStart w:id="27" w:name="challenges-faced-by-the-modern-academic"/>
    <w:p>
      <w:pPr>
        <w:pStyle w:val="Heading2"/>
      </w:pPr>
      <w:r>
        <w:t xml:space="preserve">4. Challenges Faced by the Modern Academic</w:t>
      </w:r>
    </w:p>
    <w:p>
      <w:pPr>
        <w:pStyle w:val="FirstParagraph"/>
      </w:pPr>
      <w:r>
        <w:t xml:space="preserve">The profession faces structural challenges that impact morale and job security. In Canada Toronto, as elsewhere, there is an over-reliance on contingent faculty (adjuncts, sessional lecturers). This precarity creates financial instability for many educators.</w:t>
      </w:r>
    </w:p>
    <w:p>
      <w:pPr>
        <w:numPr>
          <w:ilvl w:val="0"/>
          <w:numId w:val="1001"/>
        </w:numPr>
        <w:pStyle w:val="Compact"/>
      </w:pPr>
      <w:r>
        <w:rPr>
          <w:bCs/>
          <w:b/>
        </w:rPr>
        <w:t xml:space="preserve">Burnout:</w:t>
      </w:r>
      <w:r>
        <w:t xml:space="preserve"> </w:t>
      </w:r>
      <w:r>
        <w:t xml:space="preserve">The expectation to simultaneously teach large classes, publish research articles leading to tenure or contract renewal and provide extensive student support leads to high rates of burnout.</w:t>
      </w:r>
    </w:p>
    <w:p>
      <w:pPr>
        <w:numPr>
          <w:ilvl w:val="0"/>
          <w:numId w:val="1001"/>
        </w:numPr>
        <w:pStyle w:val="Compact"/>
      </w:pPr>
      <w:r>
        <w:rPr>
          <w:bCs/>
          <w:b/>
        </w:rPr>
        <w:t xml:space="preserve">Funding Disparities:</w:t>
      </w:r>
      <w:r>
        <w:t xml:space="preserve"> </w:t>
      </w:r>
      <w:r>
        <w:t xml:space="preserve">Lecturers often lack access to the same resources (graduate assistants, lab space) as tenure-track faculty yet are expected to produce comparable outputs in some institutions.</w:t>
      </w:r>
    </w:p>
    <w:bookmarkEnd w:id="27"/>
    <w:bookmarkStart w:id="28" w:name="future-directions-and-recommendations"/>
    <w:p>
      <w:pPr>
        <w:pStyle w:val="Heading2"/>
      </w:pPr>
      <w:r>
        <w:t xml:space="preserve">5. Future Directions and Recommendations</w:t>
      </w:r>
    </w:p>
    <w:p>
      <w:pPr>
        <w:pStyle w:val="FirstParagraph"/>
      </w:pPr>
      <w:r>
        <w:t xml:space="preserve">To sustain a healthy academic ecosystem in Canada Toronto, systemic changes are required:</w:t>
      </w:r>
      <w:r>
        <w:t xml:space="preserve"> </w:t>
      </w:r>
      <w:r>
        <w:t xml:space="preserve">1.</w:t>
      </w:r>
      <w:r>
        <w:rPr>
          <w:bCs/>
          <w:b/>
        </w:rPr>
        <w:t xml:space="preserve">Cohesive Evaluation Metrics:</w:t>
      </w:r>
      <w:r>
        <w:t xml:space="preserve"> </w:t>
      </w:r>
      <w:r>
        <w:t xml:space="preserve">Institutions must develop evaluation frameworks that recognize the value of high-quality teaching and diverse service activities alongside traditional research metrics.</w:t>
      </w:r>
      <w:r>
        <w:t xml:space="preserve"> </w:t>
      </w:r>
      <w:r>
        <w:t xml:space="preserve">2.</w:t>
      </w:r>
      <w:r>
        <w:rPr>
          <w:bCs/>
          <w:b/>
        </w:rPr>
        <w:t xml:space="preserve">Support for Professional Development</w:t>
      </w:r>
      <w:r>
        <w:t xml:space="preserve">: Funding should be allocated specifically to train University Lecturers in emerging technologies and inclusive pedagogies.</w:t>
      </w:r>
      <w:r>
        <w:t xml:space="preserve"> </w:t>
      </w:r>
      <w:r>
        <w:t xml:space="preserve">3.</w:t>
      </w:r>
      <w:r>
        <w:rPr>
          <w:bCs/>
          <w:b/>
        </w:rPr>
        <w:t xml:space="preserve">Improved Job Security</w:t>
      </w:r>
      <w:r>
        <w:t xml:space="preserve">: Moving toward more permanent contracts will reduce turnover and allow lecturers to invest long-term in their institutions’ communities.</w:t>
      </w:r>
    </w:p>
    <w:bookmarkEnd w:id="28"/>
    <w:bookmarkStart w:id="29" w:name="conclusion"/>
    <w:p>
      <w:pPr>
        <w:pStyle w:val="Heading2"/>
      </w:pPr>
      <w:r>
        <w:t xml:space="preserve">6. Conclusion</w:t>
      </w:r>
    </w:p>
    <w:p>
      <w:pPr>
        <w:pStyle w:val="FirstParagraph"/>
      </w:pPr>
      <w:r>
        <w:t xml:space="preserve">The role of the University Lecturer has evolved from a specialized teacher into a complex hybrid professional who bridges academia, industry, and society. In Canada Toronto this evolution is accelerated by rapid demographic shifts and the city's status as an intellectual hub. By recognizing the challenges associated with this expanding mandate—particularly regarding burnout and resource allocation—we can better support those shaping Canada's future workforce. Ultimately, strengthening the position of University Lecturers is not merely a benefit to employees, but a necessity for maintaining educational excellence in an increasingly globalized society.</w:t>
      </w:r>
    </w:p>
    <w:bookmarkEnd w:id="29"/>
    <w:bookmarkStart w:id="30" w:name="references"/>
    <w:p>
      <w:pPr>
        <w:pStyle w:val="Heading2"/>
      </w:pPr>
      <w:r>
        <w:t xml:space="preserve">References</w:t>
      </w:r>
    </w:p>
    <w:p>
      <w:pPr>
        <w:pStyle w:val="FirstParagraph"/>
      </w:pPr>
      <w:r>
        <w:rPr>
          <w:iCs/>
          <w:i/>
        </w:rPr>
        <w:t xml:space="preserve">(Note: References below are illustrative of academic style)</w:t>
      </w:r>
    </w:p>
    <w:p>
      <w:pPr>
        <w:numPr>
          <w:ilvl w:val="0"/>
          <w:numId w:val="1002"/>
        </w:numPr>
        <w:pStyle w:val="Compact"/>
      </w:pPr>
      <w:r>
        <w:t xml:space="preserve">Carnegie Foundation. (2019). *Scholarship Reconsidered: Priorities for the Professoriate.* Princeton University Press.</w:t>
      </w:r>
    </w:p>
    <w:p>
      <w:pPr>
        <w:numPr>
          <w:ilvl w:val="0"/>
          <w:numId w:val="1002"/>
        </w:numPr>
        <w:pStyle w:val="Compact"/>
      </w:pPr>
      <w:r>
        <w:t xml:space="preserve">Giroux, H. A. (2021). *The Student Crisis and the Future of Higher Education in North America.* Critical Studies in Education.</w:t>
      </w:r>
    </w:p>
    <w:p>
      <w:pPr>
        <w:numPr>
          <w:ilvl w:val="0"/>
          <w:numId w:val="1002"/>
        </w:numPr>
        <w:pStyle w:val="Compact"/>
      </w:pPr>
      <w:r>
        <w:t xml:space="preserve">Ontario Council on Universities. (2023). *Report on Post-Secondary Funding and Faculty Compensation.* Toronto: OCUL Publications.</w:t>
      </w:r>
    </w:p>
    <w:p>
      <w:pPr>
        <w:numPr>
          <w:ilvl w:val="0"/>
          <w:numId w:val="1002"/>
        </w:numPr>
        <w:pStyle w:val="Compact"/>
      </w:pPr>
      <w:r>
        <w:t xml:space="preserve">Schellar, B. (2018). "The Precarity of Adjunct Labor in Canadian Universities." *Canadian Journal of Higher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a Globalized Academic Landscape: A Case Study of Canada Toronto</dc:title>
  <dc:creator/>
  <dc:language>en</dc:language>
  <cp:keywords/>
  <dcterms:created xsi:type="dcterms:W3CDTF">2026-07-29T15:05:28Z</dcterms:created>
  <dcterms:modified xsi:type="dcterms:W3CDTF">2026-07-29T15:05:28Z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