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w:t>
      </w:r>
    </w:p>
    <w:p>
      <w:pPr>
        <w:pStyle w:val="FirstParagraph"/>
      </w:pPr>
      <w:r>
        <w:t xml:space="preserve">```html</w:t>
      </w:r>
    </w:p>
    <w:bookmarkStart w:id="30" w:name="X939acbcf2f500567c9084db65fd5427cea567d6"/>
    <w:p>
      <w:pPr>
        <w:pStyle w:val="Heading1"/>
      </w:pPr>
      <w:r>
        <w:t xml:space="preserve">The Role and Evolution of the University Lecturer in Germany: A Case Study of Berlin</w:t>
      </w:r>
    </w:p>
    <w:p>
      <w:pPr>
        <w:pStyle w:val="FirstParagraph"/>
      </w:pPr>
      <w:r>
        <w:rPr>
          <w:bCs/>
          <w:b/>
        </w:rPr>
        <w:t xml:space="preserve">Abstract:</w:t>
      </w:r>
      <w:r>
        <w:br/>
      </w:r>
      <w:r>
        <w:t xml:space="preserve">This paper examines the multifaceted role of the university lecturer within the higher education system of Germany, with a specific focus on the dynamic academic environment found in Berlin. As a hub for international research and diverse cultural exchange, Berlin presents unique challenges and opportunities for academic staff. This document explores structural changes in faculty positions, such as the shift from traditional professorships to fixed-term contracts under the Wissenschaftszeitvertragsgesetz (WissZVG), and analyzes how these factors influence teaching quality, research output, and career stability. Furthermore, it discusses the impact of internationalization on curricula and student engagement in Berlin’s universities.</w:t>
      </w:r>
    </w:p>
    <w:bookmarkStart w:id="20" w:name="introduction"/>
    <w:p>
      <w:pPr>
        <w:pStyle w:val="Heading2"/>
      </w:pPr>
      <w:r>
        <w:t xml:space="preserve">1. Introduction</w:t>
      </w:r>
    </w:p>
    <w:p>
      <w:pPr>
        <w:pStyle w:val="FirstParagraph"/>
      </w:pPr>
      <w:r>
        <w:t xml:space="preserve">The landscape of higher education in Germany has undergone significant transformation over the past two decades. Central to this transformation is the role of the university lecturer, an academic professional who bridges the gap between traditional scholarship and modern pedagogical demands. Nowhere is this tension more palpable than in Berlin, Germany’s capital and a major center for academic innovation. Berlin hosts a concentration of prestigious institutions, including Humboldt-Universität zu Berlin, Freie Universität Berlin, and Technische Universität Berlin, alongside numerous private colleges and specialized research institutes.</w:t>
      </w:r>
    </w:p>
    <w:p>
      <w:pPr>
        <w:pStyle w:val="BodyText"/>
      </w:pPr>
      <w:r>
        <w:t xml:space="preserve">In the context of "Germany," the higher education sector is characterized by its strong emphasis on both teaching (</w:t>
      </w:r>
      <w:r>
        <w:rPr>
          <w:iCs/>
          <w:i/>
        </w:rPr>
        <w:t xml:space="preserve">Lehre</w:t>
      </w:r>
      <w:r>
        <w:t xml:space="preserve">) and research (</w:t>
      </w:r>
      <w:r>
        <w:rPr>
          <w:iCs/>
          <w:i/>
        </w:rPr>
        <w:t xml:space="preserve">Forschung</w:t>
      </w:r>
      <w:r>
        <w:t xml:space="preserve">). However, in "Berlin," where cost of living pressures are high and competition for funding is intense, university lecturers often face a precarious professional environment. This paper argues that the identity of the university lecturer in Berlin is being redefined by three key forces: legislative reforms regarding employment contracts, the demands of internationalization, and increasing digitalization in education.</w:t>
      </w:r>
    </w:p>
    <w:bookmarkEnd w:id="20"/>
    <w:bookmarkStart w:id="21" w:name="X6c9911c80a495a8f90c68fd41f4c5396134c530"/>
    <w:p>
      <w:pPr>
        <w:pStyle w:val="Heading2"/>
      </w:pPr>
      <w:r>
        <w:t xml:space="preserve">2. Structural Context: The Lecturer’s Position in Germany</w:t>
      </w:r>
    </w:p>
    <w:p>
      <w:pPr>
        <w:pStyle w:val="FirstParagraph"/>
      </w:pPr>
      <w:r>
        <w:t xml:space="preserve">To understand the position of a university lecturer in Germany, one must first distinguish it from the traditional "Professor." In the German academic hierarchy, a Professor holds a civil service position (</w:t>
      </w:r>
      <w:r>
        <w:rPr>
          <w:iCs/>
          <w:i/>
        </w:rPr>
        <w:t xml:space="preserve">Akademischer Rat auf Zeit</w:t>
      </w:r>
      <w:r>
        <w:t xml:space="preserve"> </w:t>
      </w:r>
      <w:r>
        <w:t xml:space="preserve">or higher) with tenure-track potential. In contrast, many university lecturers are employed under temporary contracts governed by the Wissenschaftszeitvertragsgesetz (Law on Temporary Contracts in Science). This legislation allows for fixed-term contracts based on objective reasons related to research or teaching needs, typically lasting up to three years post-PhD and potentially extended depending on project funding.</w:t>
      </w:r>
    </w:p>
    <w:p>
      <w:pPr>
        <w:pStyle w:val="BodyText"/>
      </w:pPr>
      <w:r>
        <w:t xml:space="preserve">This structural reality creates a climate of uncertainty. For the university lecturer, this means balancing heavy teaching loads with the imperative to publish in high-impact journals. The pressure is amplified by performance-based funding models adopted by many German states, including Berlin’s Senate Department for Science, Health, and Care. Lecturers are not merely educators; they are researchers whose career longevity depends on securing third-party funds (</w:t>
      </w:r>
      <w:r>
        <w:rPr>
          <w:iCs/>
          <w:i/>
        </w:rPr>
        <w:t xml:space="preserve">Drittmittel</w:t>
      </w:r>
      <w:r>
        <w:t xml:space="preserve">) and maintaining a robust publication record.</w:t>
      </w:r>
    </w:p>
    <w:bookmarkEnd w:id="21"/>
    <w:bookmarkStart w:id="24" w:name="Xdbf19aef1b07c72bd722768537ddebf47a5c65a"/>
    <w:p>
      <w:pPr>
        <w:pStyle w:val="Heading2"/>
      </w:pPr>
      <w:r>
        <w:t xml:space="preserve">3. The Berlin Factor: Internationalization and Diversity</w:t>
      </w:r>
    </w:p>
    <w:p>
      <w:pPr>
        <w:pStyle w:val="FirstParagraph"/>
      </w:pPr>
      <w:r>
        <w:t xml:space="preserve">Berlin stands out as one of the most international academic cities in Europe. A significant proportion of students enrolled in Berlin universities are non-German nationals, particularly at the graduate level. Consequently, university lecturers in Berlin must navigate a multilingual and multicultural classroom environment more frequently than their counterparts in rural German states.</w:t>
      </w:r>
    </w:p>
    <w:bookmarkStart w:id="22" w:name="language-of-instruction"/>
    <w:p>
      <w:pPr>
        <w:pStyle w:val="Heading3"/>
      </w:pPr>
      <w:r>
        <w:t xml:space="preserve">3.1 Language of Instruction</w:t>
      </w:r>
    </w:p>
    <w:p>
      <w:pPr>
        <w:pStyle w:val="FirstParagraph"/>
      </w:pPr>
      <w:r>
        <w:t xml:space="preserve">While many undergraduate programs remain in German, graduate programs increasingly offer courses taught entirely in English. University lecturers are thus required to possess high levels of academic proficiency in English, often while continuing to teach German-language seminars for local students. This dual-language requirement adds a layer of complexity to lesson planning and assessment criteria.</w:t>
      </w:r>
    </w:p>
    <w:bookmarkEnd w:id="22"/>
    <w:bookmarkStart w:id="23" w:name="cultural-competence"/>
    <w:p>
      <w:pPr>
        <w:pStyle w:val="Heading3"/>
      </w:pPr>
      <w:r>
        <w:t xml:space="preserve">3.2 Cultural Competence</w:t>
      </w:r>
    </w:p>
    <w:p>
      <w:pPr>
        <w:pStyle w:val="FirstParagraph"/>
      </w:pPr>
      <w:r>
        <w:t xml:space="preserve">Berlin’s diverse student body brings varied educational backgrounds and cultural expectations regarding teacher-student dynamics. Traditional German academic hierarchies, which can be rigid, are increasingly challenged by students from countries with more egalitarian pedagogical traditions. University lecturers in Berlin must adapt their teaching styles to be more inclusive and interactive, moving away from the pure</w:t>
      </w:r>
      <w:r>
        <w:t xml:space="preserve"> </w:t>
      </w:r>
      <w:r>
        <w:rPr>
          <w:iCs/>
          <w:i/>
        </w:rPr>
        <w:t xml:space="preserve">Vorlesung</w:t>
      </w:r>
      <w:r>
        <w:t xml:space="preserve"> </w:t>
      </w:r>
      <w:r>
        <w:t xml:space="preserve">(lecture) format toward seminars that encourage critical debate.</w:t>
      </w:r>
    </w:p>
    <w:bookmarkEnd w:id="23"/>
    <w:bookmarkEnd w:id="24"/>
    <w:bookmarkStart w:id="25" w:name="Xb7a9e7143b99e067b0e78d24c01cddc720be25f"/>
    <w:p>
      <w:pPr>
        <w:pStyle w:val="Heading2"/>
      </w:pPr>
      <w:r>
        <w:t xml:space="preserve">4. Digital Transformation and Pedagogical Innovation</w:t>
      </w:r>
    </w:p>
    <w:p>
      <w:pPr>
        <w:pStyle w:val="FirstParagraph"/>
      </w:pPr>
      <w:r>
        <w:t xml:space="preserve">The past decade, accelerated by the global pandemic, has forced university lecturers across Germany to adopt digital tools rapidly. In Berlin, where technological infrastructure is generally advanced, this shift has been somewhat smoother but remains challenging for individuals on short-term contracts who may lack institutional support for professional development.</w:t>
      </w:r>
    </w:p>
    <w:p>
      <w:pPr>
        <w:pStyle w:val="BodyText"/>
      </w:pPr>
      <w:r>
        <w:t xml:space="preserve">Modern university lecturing in Berlin involves the integration of Learning Management Systems (LMS) like ILIAS or Moodle, virtual collaboration tools, and digital assessment methods. For a lecturer, this means mastering not just their subject matter but also pedagogical technology. The expectation is that course materials are available online prior to lectures, flipping the classroom model to maximize face-to-face time for discussion and application.</w:t>
      </w:r>
    </w:p>
    <w:bookmarkEnd w:id="25"/>
    <w:bookmarkStart w:id="26" w:name="challenges-of-precarious-employment"/>
    <w:p>
      <w:pPr>
        <w:pStyle w:val="Heading2"/>
      </w:pPr>
      <w:r>
        <w:t xml:space="preserve">5. Challenges of Precarious Employment</w:t>
      </w:r>
    </w:p>
    <w:p>
      <w:pPr>
        <w:pStyle w:val="FirstParagraph"/>
      </w:pPr>
      <w:r>
        <w:t xml:space="preserve">Despite the vibrant academic scene in Berlin, the issue of job insecurity remains paramount. Many university lecturers cycle through multiple short-term contracts over several years without a clear path to permanent employment. This "precarity" has been shown to affect mental health and can lead to a decline in teaching quality if lecturers feel undervalued or unsupported.</w:t>
      </w:r>
    </w:p>
    <w:p>
      <w:pPr>
        <w:pStyle w:val="BodyText"/>
      </w:pPr>
      <w:r>
        <w:t xml:space="preserve">Furthermore, the administrative burden on university lecturers in Germany is considerable. From grant applications to student counseling and committee work, non-teaching duties consume significant time. In Berlin’s large universities, this can lead to feelings of isolation for individual researchers who may not have a permanent office or access to established research groups.</w:t>
      </w:r>
    </w:p>
    <w:bookmarkEnd w:id="26"/>
    <w:bookmarkStart w:id="27" w:name="Xc99a71061e8eb5a2a7e34a250df6eccec03341f"/>
    <w:p>
      <w:pPr>
        <w:pStyle w:val="Heading2"/>
      </w:pPr>
      <w:r>
        <w:t xml:space="preserve">6. Strategies for Improvement and Future Directions</w:t>
      </w:r>
    </w:p>
    <w:p>
      <w:pPr>
        <w:pStyle w:val="FirstParagraph"/>
      </w:pPr>
      <w:r>
        <w:t xml:space="preserve">To enhance the role and well-being of university lecturers in Berlin, several strategies are recommended:</w:t>
      </w:r>
    </w:p>
    <w:p>
      <w:pPr>
        <w:numPr>
          <w:ilvl w:val="0"/>
          <w:numId w:val="1001"/>
        </w:numPr>
        <w:pStyle w:val="Compact"/>
      </w:pPr>
      <w:r>
        <w:rPr>
          <w:bCs/>
          <w:b/>
        </w:rPr>
        <w:t xml:space="preserve">Career Pathways:</w:t>
      </w:r>
    </w:p>
    <w:p>
      <w:pPr>
        <w:numPr>
          <w:ilvl w:val="0"/>
          <w:numId w:val="1001"/>
        </w:numPr>
        <w:pStyle w:val="Compact"/>
      </w:pPr>
      <w:r>
        <w:rPr>
          <w:bCs/>
          <w:b/>
        </w:rPr>
        <w:t xml:space="preserve">Support Networks:</w:t>
      </w:r>
    </w:p>
    <w:p>
      <w:pPr>
        <w:numPr>
          <w:ilvl w:val="0"/>
          <w:numId w:val="1001"/>
        </w:numPr>
        <w:pStyle w:val="Compact"/>
      </w:pPr>
      <w:r>
        <w:rPr>
          <w:bCs/>
          <w:b/>
        </w:rPr>
        <w:t xml:space="preserve">Digital Training:</w:t>
      </w:r>
    </w:p>
    <w:p>
      <w:pPr>
        <w:numPr>
          <w:ilvl w:val="0"/>
          <w:numId w:val="1001"/>
        </w:numPr>
        <w:pStyle w:val="Compact"/>
      </w:pPr>
      <w:r>
        <w:rPr>
          <w:bCs/>
          <w:b/>
        </w:rPr>
        <w:t xml:space="preserve">Institutional Recognition:</w:t>
      </w:r>
    </w:p>
    <w:bookmarkEnd w:id="27"/>
    <w:bookmarkStart w:id="28" w:name="conclusion"/>
    <w:p>
      <w:pPr>
        <w:pStyle w:val="Heading2"/>
      </w:pPr>
      <w:r>
        <w:t xml:space="preserve">7. Conclusion</w:t>
      </w:r>
    </w:p>
    <w:p>
      <w:pPr>
        <w:pStyle w:val="FirstParagraph"/>
      </w:pPr>
      <w:r>
        <w:t xml:space="preserve">The university lecturer in Germany, and specifically in Berlin, occupies a critical yet often vulnerable position within the higher education ecosystem. They are the frontline educators who shape the minds of a diverse, international student body while simultaneously driving research agendas under stringent contractual conditions. The unique environment of Berlin offers opportunities for cross-cultural exchange and innovation but also exacerbates challenges related to job security and administrative overload.</w:t>
      </w:r>
    </w:p>
    <w:p>
      <w:pPr>
        <w:pStyle w:val="BodyText"/>
      </w:pPr>
      <w:r>
        <w:t xml:space="preserve">As Germany continues to compete globally for academic talent, it is imperative that policymakers and university administrators address the structural inequities faced by university lecturers. By stabilizing employment conditions, supporting digital transformation, and fostering inclusive teaching environments, Berlin can maintain its status as a leading center of excellence in European higher education. The future of German academia depends on the well-being and empowerment of its lecturers.</w:t>
      </w:r>
    </w:p>
    <w:bookmarkEnd w:id="28"/>
    <w:bookmarkStart w:id="29" w:name="references"/>
    <w:p>
      <w:pPr>
        <w:pStyle w:val="Heading2"/>
      </w:pPr>
      <w:r>
        <w:t xml:space="preserve">References</w:t>
      </w:r>
    </w:p>
    <w:p>
      <w:pPr>
        <w:numPr>
          <w:ilvl w:val="0"/>
          <w:numId w:val="1002"/>
        </w:numPr>
        <w:pStyle w:val="Compact"/>
      </w:pPr>
      <w:r>
        <w:t xml:space="preserve">Habermann, T., &amp; Wirth, V. (2015). *Wissenschaftlerinnen und Wissenschaftler in Deutschland*. Springer VS.</w:t>
      </w:r>
    </w:p>
    <w:p>
      <w:pPr>
        <w:numPr>
          <w:ilvl w:val="0"/>
          <w:numId w:val="1002"/>
        </w:numPr>
        <w:pStyle w:val="Compact"/>
      </w:pPr>
      <w:r>
        <w:t xml:space="preserve">Schmidt, S., &amp; Weber, M. (2021). "Digitalization in Higher Education: The German Perspective." *Journal of European Higher Education*, 15(3), 45-62.</w:t>
      </w:r>
    </w:p>
    <w:p>
      <w:pPr>
        <w:numPr>
          <w:ilvl w:val="0"/>
          <w:numId w:val="1002"/>
        </w:numPr>
        <w:pStyle w:val="Compact"/>
      </w:pPr>
      <w:r>
        <w:t xml:space="preserve">Berlin Senate Department for Science, Health, and Care. (2023). *Annual Report on Higher Education Statistics in Berlin*. Berlin: SenSWKG.</w:t>
      </w:r>
    </w:p>
    <w:p>
      <w:pPr>
        <w:numPr>
          <w:ilvl w:val="0"/>
          <w:numId w:val="1002"/>
        </w:numPr>
        <w:pStyle w:val="Compact"/>
      </w:pPr>
      <w:r>
        <w:t xml:space="preserve">Wissenschaftsrat. (2019). *Recommendations on the Reform of Academic Career Structures*. Cologne: Wissenschaftsrat.</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Germany: A Case Study of Berlin</dc:title>
  <dc:creator/>
  <dc:language>en</dc:language>
  <cp:keywords/>
  <dcterms:created xsi:type="dcterms:W3CDTF">2026-07-29T18:39:00Z</dcterms:created>
  <dcterms:modified xsi:type="dcterms:W3CDTF">2026-07-29T18:39:00Z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