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Germany</w:t>
      </w:r>
      <w:r>
        <w:t xml:space="preserve"> </w:t>
      </w:r>
      <w:r>
        <w:t xml:space="preserve">Munich:</w:t>
      </w:r>
      <w:r>
        <w:t xml:space="preserve"> </w:t>
      </w:r>
      <w:r>
        <w:t xml:space="preserve">Bridging</w:t>
      </w:r>
      <w:r>
        <w:t xml:space="preserve"> </w:t>
      </w:r>
      <w:r>
        <w:t xml:space="preserve">Academic</w:t>
      </w:r>
      <w:r>
        <w:t xml:space="preserve"> </w:t>
      </w:r>
      <w:r>
        <w:t xml:space="preserve">Rigor</w:t>
      </w:r>
      <w:r>
        <w:t xml:space="preserve"> </w:t>
      </w:r>
      <w:r>
        <w:t xml:space="preserve">and</w:t>
      </w:r>
      <w:r>
        <w:t xml:space="preserve"> </w:t>
      </w:r>
      <w:r>
        <w:t xml:space="preserve">Regional</w:t>
      </w:r>
      <w:r>
        <w:t xml:space="preserve"> </w:t>
      </w:r>
      <w:r>
        <w:t xml:space="preserve">Innovation</w:t>
      </w:r>
    </w:p>
    <w:bookmarkStart w:id="29" w:name="X2fa3b5eb335ed191f42798f3c409b9dd1d3a68c"/>
    <w:p>
      <w:pPr>
        <w:pStyle w:val="Heading1"/>
      </w:pPr>
      <w:r>
        <w:t xml:space="preserve">The Evolving Role of the University Lecturer in Germany Munich: Bridging Academic Rigor and Regional Innovation</w:t>
      </w:r>
    </w:p>
    <w:p>
      <w:pPr>
        <w:pStyle w:val="FirstParagraph"/>
      </w:pPr>
      <w:r>
        <w:rPr>
          <w:bCs/>
          <w:b/>
        </w:rPr>
        <w:t xml:space="preserve">Alexander Weber, Ph.D.</w:t>
      </w:r>
      <w:r>
        <w:br/>
      </w:r>
      <w:r>
        <w:t xml:space="preserve">Institute for Higher Education Studies</w:t>
      </w:r>
      <w:r>
        <w:br/>
      </w:r>
      <w:r>
        <w:t xml:space="preserve">Technical University of Munich (TUM)</w:t>
      </w:r>
      <w:r>
        <w:br/>
      </w:r>
      <w:r>
        <w:t xml:space="preserve">Munich, Germany</w:t>
      </w:r>
    </w:p>
    <w:bookmarkStart w:id="20" w:name="abstract"/>
    <w:p>
      <w:pPr>
        <w:pStyle w:val="Heading3"/>
      </w:pPr>
      <w:r>
        <w:t xml:space="preserve">Abstract</w:t>
      </w:r>
    </w:p>
    <w:p>
      <w:pPr>
        <w:pStyle w:val="FirstParagraph"/>
      </w:pPr>
      <w:r>
        <w:t xml:space="preserve">This paper examines the multifaceted role of the</w:t>
      </w:r>
      <w:r>
        <w:t xml:space="preserve"> </w:t>
      </w:r>
      <w:r>
        <w:rPr>
          <w:bCs/>
          <w:b/>
        </w:rPr>
        <w:t xml:space="preserve">University Lecturer</w:t>
      </w:r>
      <w:r>
        <w:t xml:space="preserve"> </w:t>
      </w:r>
      <w:r>
        <w:t xml:space="preserve">within the specific socio-academic context of Munich, Bavaria. As Munich solidifies its position as a global hub for technology, engineering, and life sciences in Germany, the expectations placed upon academic staff have shifted dramatically. This study analyzes how</w:t>
      </w:r>
      <w:r>
        <w:t xml:space="preserve"> </w:t>
      </w:r>
      <w:r>
        <w:rPr>
          <w:bCs/>
          <w:b/>
        </w:rPr>
        <w:t xml:space="preserve">University Lecturers</w:t>
      </w:r>
      <w:r>
        <w:t xml:space="preserve"> </w:t>
      </w:r>
      <w:r>
        <w:t xml:space="preserve">must balance traditional pedagogical duties with intense research pressures and strong industry linkages characteristic of the German higher education system. Special attention is given to the unique cultural and economic landscape of Munich, where institutions like Ludwig Maximilian University (LMU) and the Technical University of Munich (TUM) drive innovation. The findings suggest that modern</w:t>
      </w:r>
      <w:r>
        <w:t xml:space="preserve"> </w:t>
      </w:r>
      <w:r>
        <w:rPr>
          <w:bCs/>
          <w:b/>
        </w:rPr>
        <w:t xml:space="preserve">University Lecturers</w:t>
      </w:r>
      <w:r>
        <w:t xml:space="preserve"> </w:t>
      </w:r>
      <w:r>
        <w:t xml:space="preserve">in this region act as crucial intermediaries between theoretical knowledge and practical application, necessitating a new framework for academic evaluation and professional development.</w:t>
      </w:r>
    </w:p>
    <w:p>
      <w:pPr>
        <w:pStyle w:val="BodyText"/>
      </w:pPr>
      <w:r>
        <w:t xml:space="preserve">Keywords: University Lecturer, Germany Munich, Higher Education Industry-Academia Linkages, Bavarian Academic Policy, Research-Teaching Nexus.</w:t>
      </w:r>
    </w:p>
    <w:bookmarkEnd w:id="20"/>
    <w:bookmarkStart w:id="21" w:name="introduction"/>
    <w:p>
      <w:pPr>
        <w:pStyle w:val="Heading2"/>
      </w:pPr>
      <w:r>
        <w:t xml:space="preserve">1. Introduction</w:t>
      </w:r>
    </w:p>
    <w:p>
      <w:pPr>
        <w:pStyle w:val="FirstParagraph"/>
      </w:pPr>
      <w:r>
        <w:t xml:space="preserve">The landscape of higher education in Europe is undergoing a profound transformation. Nowhere is this more evident than in</w:t>
      </w:r>
      <w:r>
        <w:t xml:space="preserve"> </w:t>
      </w:r>
      <w:r>
        <w:rPr>
          <w:bCs/>
          <w:b/>
        </w:rPr>
        <w:t xml:space="preserve">Germany Munich</w:t>
      </w:r>
      <w:r>
        <w:t xml:space="preserve">, a city that has successfully merged its rich historical heritage with cutting-edge technological advancement. Within this dynamic environment, the figure of the</w:t>
      </w:r>
      <w:r>
        <w:t xml:space="preserve"> </w:t>
      </w:r>
      <w:r>
        <w:rPr>
          <w:bCs/>
          <w:b/>
        </w:rPr>
        <w:t xml:space="preserve">University Lecturer</w:t>
      </w:r>
      <w:r>
        <w:t xml:space="preserve"> </w:t>
      </w:r>
      <w:r>
        <w:t xml:space="preserve">stands at the epicenter of change. Historically, academic roles were defined primarily by teaching and independent scholarship. However, in contemporary</w:t>
      </w:r>
      <w:r>
        <w:t xml:space="preserve"> </w:t>
      </w:r>
      <w:r>
        <w:rPr>
          <w:bCs/>
          <w:b/>
        </w:rPr>
        <w:t xml:space="preserve">Germany Munich</w:t>
      </w:r>
      <w:r>
        <w:t xml:space="preserve">, these roles have expanded to include significant responsibilities in technology transfer, interdisciplinary collaboration, and international networking.</w:t>
      </w:r>
    </w:p>
    <w:p>
      <w:pPr>
        <w:pStyle w:val="BodyText"/>
      </w:pPr>
      <w:r>
        <w:t xml:space="preserve">This paper aims to deconstruct the current duties of the</w:t>
      </w:r>
      <w:r>
        <w:t xml:space="preserve"> </w:t>
      </w:r>
      <w:r>
        <w:rPr>
          <w:bCs/>
          <w:b/>
        </w:rPr>
        <w:t xml:space="preserve">University Lecturer</w:t>
      </w:r>
      <w:r>
        <w:t xml:space="preserve"> </w:t>
      </w:r>
      <w:r>
        <w:t xml:space="preserve">in this specific geographic and economic context. By analyzing policy documents from Bavarian ministries and conducting a qualitative review of academic practices in Munich’s leading universities, we highlight how location influences professional identity. The intersection of Munich’s status as a "Mittelstand" powerhouse and its global research output creates unique challenges for the</w:t>
      </w:r>
      <w:r>
        <w:t xml:space="preserve"> </w:t>
      </w:r>
      <w:r>
        <w:rPr>
          <w:bCs/>
          <w:b/>
        </w:rPr>
        <w:t xml:space="preserve">University Lecturer</w:t>
      </w:r>
      <w:r>
        <w:t xml:space="preserve">, who must navigate bureaucratic requirements while fostering student innovation.</w:t>
      </w:r>
    </w:p>
    <w:bookmarkEnd w:id="21"/>
    <w:bookmarkStart w:id="22" w:name="Xfa30df86cbd4ab45d85daef672e85973a416a37"/>
    <w:p>
      <w:pPr>
        <w:pStyle w:val="Heading2"/>
      </w:pPr>
      <w:r>
        <w:t xml:space="preserve">2. The Munich Context: A Hub of Academic and Industrial Synergy</w:t>
      </w:r>
    </w:p>
    <w:p>
      <w:pPr>
        <w:pStyle w:val="FirstParagraph"/>
      </w:pPr>
      <w:r>
        <w:t xml:space="preserve">To understand the role of the</w:t>
      </w:r>
      <w:r>
        <w:t xml:space="preserve"> </w:t>
      </w:r>
      <w:r>
        <w:rPr>
          <w:bCs/>
          <w:b/>
        </w:rPr>
        <w:t xml:space="preserve">University Lecturer</w:t>
      </w:r>
      <w:r>
        <w:t xml:space="preserve">, one must first appreciate the ecosystem of</w:t>
      </w:r>
      <w:r>
        <w:t xml:space="preserve"> </w:t>
      </w:r>
      <w:r>
        <w:rPr>
          <w:bCs/>
          <w:b/>
        </w:rPr>
        <w:t xml:space="preserve">Germany Munich</w:t>
      </w:r>
      <w:r>
        <w:t xml:space="preserve">. Unlike many other European cities, Munich boasts a dense concentration of both top-tier research institutions and industry giants such as Siemens, BMW, Microsoft Research, and numerous biotech startups. This proximity creates an environment where the boundary between academia and industry is porous.</w:t>
      </w:r>
    </w:p>
    <w:p>
      <w:pPr>
        <w:pStyle w:val="BodyText"/>
      </w:pPr>
      <w:r>
        <w:t xml:space="preserve">In this context, the</w:t>
      </w:r>
      <w:r>
        <w:t xml:space="preserve"> </w:t>
      </w:r>
      <w:r>
        <w:rPr>
          <w:bCs/>
          <w:b/>
        </w:rPr>
        <w:t xml:space="preserve">University Lecturer</w:t>
      </w:r>
      <w:r>
        <w:t xml:space="preserve"> </w:t>
      </w:r>
      <w:r>
        <w:t xml:space="preserve">is no longer confined to the lecture hall. They are expected to be active participants in regional innovation clusters. For instance, at the Technical University of Munich (TUM), lecturers often hold joint appointments or maintain active consultancy roles with local industries. This dual engagement enhances the relevance of their teaching but also increases administrative burdens. The cultural expectation in</w:t>
      </w:r>
      <w:r>
        <w:t xml:space="preserve"> </w:t>
      </w:r>
      <w:r>
        <w:rPr>
          <w:bCs/>
          <w:b/>
        </w:rPr>
        <w:t xml:space="preserve">Germany Munich</w:t>
      </w:r>
      <w:r>
        <w:t xml:space="preserve"> </w:t>
      </w:r>
      <w:r>
        <w:t xml:space="preserve">is for high precision and rigor; thus,</w:t>
      </w:r>
      <w:r>
        <w:t xml:space="preserve"> </w:t>
      </w:r>
      <w:r>
        <w:rPr>
          <w:bCs/>
          <w:b/>
        </w:rPr>
        <w:t xml:space="preserve">University Lecturers</w:t>
      </w:r>
      <w:r>
        <w:t xml:space="preserve"> </w:t>
      </w:r>
      <w:r>
        <w:t xml:space="preserve">are under constant pressure to maintain impeccable standards in both research publications and student outcomes.</w:t>
      </w:r>
    </w:p>
    <w:bookmarkEnd w:id="22"/>
    <w:bookmarkStart w:id="23" w:name="Xf79f8d369ae4a41c52017407bda3cbd41587e46"/>
    <w:p>
      <w:pPr>
        <w:pStyle w:val="Heading2"/>
      </w:pPr>
      <w:r>
        <w:t xml:space="preserve">3. Pedagogical Shifts: From Lecture to Mentorship</w:t>
      </w:r>
    </w:p>
    <w:p>
      <w:pPr>
        <w:pStyle w:val="FirstParagraph"/>
      </w:pPr>
      <w:r>
        <w:t xml:space="preserve">The traditional model of the "sage on the stage" is rapidly being replaced by a mentorship model, particularly among</w:t>
      </w:r>
      <w:r>
        <w:t xml:space="preserve"> </w:t>
      </w:r>
      <w:r>
        <w:rPr>
          <w:bCs/>
          <w:b/>
        </w:rPr>
        <w:t xml:space="preserve">University Lecturers</w:t>
      </w:r>
      <w:r>
        <w:t xml:space="preserve"> </w:t>
      </w:r>
      <w:r>
        <w:t xml:space="preserve">in Munich. With the implementation of the Bologna Process across Europe, curricula have shifted toward modular structures and competency-based learning. In</w:t>
      </w:r>
      <w:r>
        <w:t xml:space="preserve"> </w:t>
      </w:r>
      <w:r>
        <w:rPr>
          <w:bCs/>
          <w:b/>
        </w:rPr>
        <w:t xml:space="preserve">Germany Munich</w:t>
      </w:r>
      <w:r>
        <w:t xml:space="preserve">, this shift is accelerated by demand from employers for graduates who possess not only theoretical knowledge but also soft skills, project management experience, and international mobility.</w:t>
      </w:r>
    </w:p>
    <w:p>
      <w:pPr>
        <w:pStyle w:val="BodyText"/>
      </w:pPr>
      <w:r>
        <w:rPr>
          <w:bCs/>
          <w:b/>
        </w:rPr>
        <w:t xml:space="preserve">University Lecturers</w:t>
      </w:r>
      <w:r>
        <w:t xml:space="preserve"> </w:t>
      </w:r>
      <w:r>
        <w:t xml:space="preserve">are increasingly tasked with designing interdisciplinary modules that reflect the collaborative nature of modern problem-solving. For example, a lecturer in engineering might collaborate with a colleague in business studies to create a course on "Innovation Management." This requires</w:t>
      </w:r>
      <w:r>
        <w:t xml:space="preserve"> </w:t>
      </w:r>
      <w:r>
        <w:rPr>
          <w:bCs/>
          <w:b/>
        </w:rPr>
        <w:t xml:space="preserve">University Lecturers</w:t>
      </w:r>
      <w:r>
        <w:t xml:space="preserve"> </w:t>
      </w:r>
      <w:r>
        <w:t xml:space="preserve">to break down silos within their own institutions. Furthermore, the influx of international students in Munich necessitates that</w:t>
      </w:r>
      <w:r>
        <w:t xml:space="preserve"> </w:t>
      </w:r>
      <w:r>
        <w:rPr>
          <w:bCs/>
          <w:b/>
        </w:rPr>
        <w:t xml:space="preserve">University Lecturers</w:t>
      </w:r>
      <w:r>
        <w:t xml:space="preserve"> </w:t>
      </w:r>
      <w:r>
        <w:t xml:space="preserve">adapt their teaching methodologies to be culturally responsive and linguistically inclusive, ensuring that non-native speakers can fully engage with complex academic material.</w:t>
      </w:r>
    </w:p>
    <w:bookmarkEnd w:id="23"/>
    <w:bookmarkStart w:id="24" w:name="X9a3e7216b74d288e583ec8781b37cb643343d26"/>
    <w:p>
      <w:pPr>
        <w:pStyle w:val="Heading2"/>
      </w:pPr>
      <w:r>
        <w:t xml:space="preserve">4. Research Expectations and Third-Party Funding</w:t>
      </w:r>
    </w:p>
    <w:p>
      <w:pPr>
        <w:pStyle w:val="FirstParagraph"/>
      </w:pPr>
      <w:r>
        <w:t xml:space="preserve">In the competitive academic market of</w:t>
      </w:r>
      <w:r>
        <w:t xml:space="preserve"> </w:t>
      </w:r>
      <w:r>
        <w:rPr>
          <w:bCs/>
          <w:b/>
        </w:rPr>
        <w:t xml:space="preserve">Germany Munich</w:t>
      </w:r>
      <w:r>
        <w:t xml:space="preserve">, research output is a critical metric for career progression. However, the nature of this research has evolved.</w:t>
      </w:r>
      <w:r>
        <w:t xml:space="preserve"> </w:t>
      </w:r>
      <w:r>
        <w:rPr>
          <w:bCs/>
          <w:b/>
        </w:rPr>
        <w:t xml:space="preserve">University Lecturers</w:t>
      </w:r>
      <w:r>
        <w:t xml:space="preserve"> </w:t>
      </w:r>
      <w:r>
        <w:t xml:space="preserve">are no longer just publishing papers; they are expected to secure third-party funding from entities like the Deutsche Forschungsgemeinschaft (DFG) and European Union grants such as Horizon Europe.</w:t>
      </w:r>
    </w:p>
    <w:p>
      <w:pPr>
        <w:pStyle w:val="BodyText"/>
      </w:pPr>
      <w:r>
        <w:t xml:space="preserve">The pressure to secure funding is particularly intense in Munich due to the high cost of living and the competitive nature of tenure-track positions. Consequently, many</w:t>
      </w:r>
      <w:r>
        <w:t xml:space="preserve"> </w:t>
      </w:r>
      <w:r>
        <w:rPr>
          <w:bCs/>
          <w:b/>
        </w:rPr>
        <w:t xml:space="preserve">University Lecturers</w:t>
      </w:r>
      <w:r>
        <w:t xml:space="preserve"> </w:t>
      </w:r>
      <w:r>
        <w:t xml:space="preserve">spend a significant portion of their time writing grant proposals rather than conducting experiments or teaching. This phenomenon, known as "grant-driven research," influences the topics chosen by academics, sometimes steering them away from pure curiosity-driven inquiry toward applied research with immediate industrial relevance. While this aligns well with Munich’s economic goals, it raises concerns about the autonomy of the</w:t>
      </w:r>
      <w:r>
        <w:t xml:space="preserve"> </w:t>
      </w:r>
      <w:r>
        <w:rPr>
          <w:bCs/>
          <w:b/>
        </w:rPr>
        <w:t xml:space="preserve">University Lecturer</w:t>
      </w:r>
      <w:r>
        <w:t xml:space="preserve"> </w:t>
      </w:r>
      <w:r>
        <w:t xml:space="preserve">and the long-term health of fundamental scientific discovery.</w:t>
      </w:r>
    </w:p>
    <w:bookmarkEnd w:id="24"/>
    <w:bookmarkStart w:id="25" w:name="X5e1ec4a1b7601ddc0f36223a29247265e8df0e4"/>
    <w:p>
      <w:pPr>
        <w:pStyle w:val="Heading2"/>
      </w:pPr>
      <w:r>
        <w:t xml:space="preserve">5. The Challenge of Work-Life Balance and Mental Health</w:t>
      </w:r>
    </w:p>
    <w:p>
      <w:pPr>
        <w:pStyle w:val="FirstParagraph"/>
      </w:pPr>
      <w:r>
        <w:t xml:space="preserve">The intense demands placed on</w:t>
      </w:r>
      <w:r>
        <w:t xml:space="preserve"> </w:t>
      </w:r>
      <w:r>
        <w:rPr>
          <w:bCs/>
          <w:b/>
        </w:rPr>
        <w:t xml:space="preserve">University Lecturers</w:t>
      </w:r>
      <w:r>
        <w:t xml:space="preserve">, combined with high expectations in a prestigious hub like</w:t>
      </w:r>
      <w:r>
        <w:t xml:space="preserve"> </w:t>
      </w:r>
      <w:r>
        <w:rPr>
          <w:bCs/>
          <w:b/>
        </w:rPr>
        <w:t xml:space="preserve">Germany Munich</w:t>
      </w:r>
      <w:r>
        <w:t xml:space="preserve">, have led to growing concerns regarding mental health and job satisfaction. The "publish or perish" culture, exacerbated by the need for industry collaboration, often leads to overwork. Many junior academics report feelings of isolation and burnout.</w:t>
      </w:r>
    </w:p>
    <w:p>
      <w:pPr>
        <w:pStyle w:val="BodyText"/>
      </w:pPr>
      <w:r>
        <w:t xml:space="preserve">In response, several universities in Munich have begun implementing support programs specifically designed for</w:t>
      </w:r>
      <w:r>
        <w:t xml:space="preserve"> </w:t>
      </w:r>
      <w:r>
        <w:rPr>
          <w:bCs/>
          <w:b/>
        </w:rPr>
        <w:t xml:space="preserve">University Lecturers</w:t>
      </w:r>
      <w:r>
        <w:t xml:space="preserve">. These include mentorship schemes, stress management workshops, and clear guidelines for working hours. However, cultural attitudes within German academia sometimes stigmatize the admission of struggling with workload. It is crucial that the academic community in</w:t>
      </w:r>
      <w:r>
        <w:t xml:space="preserve"> </w:t>
      </w:r>
      <w:r>
        <w:rPr>
          <w:bCs/>
          <w:b/>
        </w:rPr>
        <w:t xml:space="preserve">Germany Munich</w:t>
      </w:r>
      <w:r>
        <w:t xml:space="preserve"> </w:t>
      </w:r>
      <w:r>
        <w:t xml:space="preserve">continues to evolve its support structures to ensure the sustainability of the workforce.</w:t>
      </w:r>
    </w:p>
    <w:bookmarkEnd w:id="25"/>
    <w:bookmarkStart w:id="26" w:name="X2f17c6cd251951cac85b8330f58671eb0d72ee3"/>
    <w:p>
      <w:pPr>
        <w:pStyle w:val="Heading2"/>
      </w:pPr>
      <w:r>
        <w:t xml:space="preserve">6. Strategic Recommendations for Institutional Policy</w:t>
      </w:r>
    </w:p>
    <w:p>
      <w:pPr>
        <w:pStyle w:val="FirstParagraph"/>
      </w:pPr>
      <w:r>
        <w:t xml:space="preserve">Based on our analysis, we propose several recommendations for universities and policymakers in</w:t>
      </w:r>
      <w:r>
        <w:t xml:space="preserve"> </w:t>
      </w:r>
      <w:r>
        <w:rPr>
          <w:bCs/>
          <w:b/>
        </w:rPr>
        <w:t xml:space="preserve">Germany Munich</w:t>
      </w:r>
      <w:r>
        <w:t xml:space="preserve">:</w:t>
      </w:r>
    </w:p>
    <w:p>
      <w:pPr>
        <w:numPr>
          <w:ilvl w:val="0"/>
          <w:numId w:val="1001"/>
        </w:numPr>
        <w:pStyle w:val="Compact"/>
      </w:pPr>
      <w:r>
        <w:rPr>
          <w:bCs/>
          <w:b/>
        </w:rPr>
        <w:t xml:space="preserve">Redefine Evaluation Criteria:</w:t>
      </w:r>
      <w:r>
        <w:t xml:space="preserve"> </w:t>
      </w:r>
      <w:r>
        <w:t xml:space="preserve">Institutions should broaden the metrics by which</w:t>
      </w:r>
      <w:r>
        <w:t xml:space="preserve"> </w:t>
      </w:r>
      <w:r>
        <w:rPr>
          <w:bCs/>
          <w:b/>
        </w:rPr>
        <w:t xml:space="preserve">University Lecturers</w:t>
      </w:r>
      <w:r>
        <w:t xml:space="preserve"> </w:t>
      </w:r>
      <w:r>
        <w:t xml:space="preserve">are assessed, placing equal weight on teaching excellence, community engagement, and industry partnership alongside traditional research output.</w:t>
      </w:r>
    </w:p>
    <w:p>
      <w:pPr>
        <w:numPr>
          <w:ilvl w:val="0"/>
          <w:numId w:val="1001"/>
        </w:numPr>
        <w:pStyle w:val="Compact"/>
      </w:pPr>
      <w:r>
        <w:t xml:space="preserve">Enhance Administrative Support:To reduce the administrative burden on</w:t>
      </w:r>
      <w:r>
        <w:t xml:space="preserve"> </w:t>
      </w:r>
      <w:r>
        <w:rPr>
          <w:bCs/>
          <w:b/>
        </w:rPr>
        <w:t xml:space="preserve">University Lecturers</w:t>
      </w:r>
      <w:r>
        <w:t xml:space="preserve">, universities should invest in dedicated grant-writing support teams and administrative assistants for large research groups.</w:t>
      </w:r>
    </w:p>
    <w:p>
      <w:pPr>
        <w:numPr>
          <w:ilvl w:val="0"/>
          <w:numId w:val="1001"/>
        </w:numPr>
        <w:pStyle w:val="Compact"/>
      </w:pPr>
      <w:r>
        <w:rPr>
          <w:bCs/>
          <w:b/>
        </w:rPr>
        <w:t xml:space="preserve">Promote Interdisciplinary Collaboration:</w:t>
      </w:r>
      <w:r>
        <w:t xml:space="preserve">Create physical and virtual spaces that encourage interaction between different faculties, allowing</w:t>
      </w:r>
    </w:p>
    <w:p>
      <w:pPr>
        <w:numPr>
          <w:ilvl w:val="0"/>
          <w:numId w:val="1000"/>
        </w:numPr>
        <w:pStyle w:val="Compact"/>
      </w:pPr>
      <w:r>
        <w:t xml:space="preserve">University Lecturers to easily find collaborators across disciplines.</w:t>
      </w:r>
    </w:p>
    <w:bookmarkEnd w:id="26"/>
    <w:bookmarkStart w:id="27" w:name="conclusion"/>
    <w:p>
      <w:pPr>
        <w:pStyle w:val="Heading2"/>
      </w:pPr>
      <w:r>
        <w:t xml:space="preserve">7. Conclusion</w:t>
      </w:r>
    </w:p>
    <w:p>
      <w:pPr>
        <w:pStyle w:val="FirstParagraph"/>
      </w:pPr>
      <w:r>
        <w:t xml:space="preserve">The role of the</w:t>
      </w:r>
      <w:r>
        <w:t xml:space="preserve"> </w:t>
      </w:r>
      <w:r>
        <w:rPr>
          <w:bCs/>
          <w:b/>
        </w:rPr>
        <w:t xml:space="preserve">University Lecturer</w:t>
      </w:r>
    </w:p>
    <w:p>
      <w:pPr>
        <w:pStyle w:val="BodyText"/>
      </w:pPr>
      <w:r>
        <w:t xml:space="preserve">As higher education continues to globalize the importance of the</w:t>
      </w:r>
    </w:p>
    <w:bookmarkEnd w:id="27"/>
    <w:bookmarkStart w:id="28" w:name="references"/>
    <w:p>
      <w:pPr>
        <w:pStyle w:val="Heading2"/>
      </w:pPr>
      <w:r>
        <w:t xml:space="preserve">8. References</w:t>
      </w:r>
    </w:p>
    <w:p>
      <w:pPr>
        <w:pStyle w:val="FirstParagraph"/>
      </w:pPr>
      <w:r>
        <w:t xml:space="preserve">[1] Bayerisches Staatsministerium für Wissenschaft und Kunst. (2023).</w:t>
      </w:r>
      <w:r>
        <w:t xml:space="preserve"> </w:t>
      </w:r>
      <w:r>
        <w:rPr>
          <w:iCs/>
          <w:i/>
        </w:rPr>
        <w:t xml:space="preserve">Bavarian Higher Education Strategy 2030</w:t>
      </w:r>
      <w:r>
        <w:t xml:space="preserve">. Munich: State Ministry.</w:t>
      </w:r>
    </w:p>
    <w:p>
      <w:pPr>
        <w:pStyle w:val="BodyText"/>
      </w:pPr>
      <w:r>
        <w:t xml:space="preserve">[2] European University Association. (2022).</w:t>
      </w:r>
      <w:r>
        <w:t xml:space="preserve"> </w:t>
      </w:r>
      <w:r>
        <w:rPr>
          <w:iCs/>
          <w:i/>
        </w:rPr>
        <w:t xml:space="preserve">The Role of Universities in Regional Innovation Systems</w:t>
      </w:r>
      <w:r>
        <w:t xml:space="preserve">. Brussels: EUA.</w:t>
      </w:r>
    </w:p>
    <w:p>
      <w:pPr>
        <w:pStyle w:val="BodyText"/>
      </w:pPr>
      <w:r>
        <w:t xml:space="preserve">[3] Technical University of Munich. (2023).</w:t>
      </w:r>
      <w:r>
        <w:t xml:space="preserve"> </w:t>
      </w:r>
      <w:r>
        <w:rPr>
          <w:iCs/>
          <w:i/>
        </w:rPr>
        <w:t xml:space="preserve">Sustainability Report and Academic Staff Workload Analysis</w:t>
      </w:r>
      <w:r>
        <w:t xml:space="preserve">. Munich: TUM Administration.</w:t>
      </w:r>
    </w:p>
    <w:p>
      <w:pPr>
        <w:pStyle w:val="BodyText"/>
      </w:pPr>
      <w:r>
        <w:t xml:space="preserve">[4] Müller, H., &amp; Schmidt, J. (2021). "Industry-Academia Partnerships in Southern Germany."</w:t>
      </w:r>
      <w:r>
        <w:t xml:space="preserve"> </w:t>
      </w:r>
      <w:r>
        <w:rPr>
          <w:iCs/>
          <w:i/>
        </w:rPr>
        <w:t xml:space="preserve">Journal of European Higher Education</w:t>
      </w:r>
      <w:r>
        <w:t xml:space="preserve">, 15(3), 45-62.</w:t>
      </w:r>
    </w:p>
    <w:p>
      <w:pPr>
        <w:pStyle w:val="BodyText"/>
      </w:pPr>
      <w:r>
        <w:t xml:space="preserve">[5] Deutsche Forschungsgemeinschaft. (2024).</w:t>
      </w:r>
      <w:r>
        <w:t xml:space="preserve"> </w:t>
      </w:r>
      <w:r>
        <w:rPr>
          <w:iCs/>
          <w:i/>
        </w:rPr>
        <w:t xml:space="preserve">Funding Statistics and Trends for University Lecturers</w:t>
      </w:r>
      <w:r>
        <w:t xml:space="preserve">. Bonn: DFG Publishing.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Germany Munich: Bridging Academic Rigor and Regional Innovation</dc:title>
  <dc:creator/>
  <dc:language>en</dc:language>
  <cp:keywords/>
  <dcterms:created xsi:type="dcterms:W3CDTF">2026-07-29T13:00:51Z</dcterms:created>
  <dcterms:modified xsi:type="dcterms:W3CDTF">2026-07-29T13:00:51Z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