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Tehran:</w:t>
      </w:r>
      <w:r>
        <w:t xml:space="preserve"> </w:t>
      </w:r>
      <w:r>
        <w:t xml:space="preserve">Navigating</w:t>
      </w:r>
      <w:r>
        <w:t xml:space="preserve"> </w:t>
      </w:r>
      <w:r>
        <w:t xml:space="preserve">Tradition,</w:t>
      </w:r>
      <w:r>
        <w:t xml:space="preserve"> </w:t>
      </w:r>
      <w:r>
        <w:t xml:space="preserve">Technology,</w:t>
      </w:r>
      <w:r>
        <w:t xml:space="preserve"> </w:t>
      </w:r>
      <w:r>
        <w:t xml:space="preserve">and</w:t>
      </w:r>
      <w:r>
        <w:t xml:space="preserve"> </w:t>
      </w:r>
      <w:r>
        <w:t xml:space="preserve">Globalization</w:t>
      </w:r>
    </w:p>
    <w:bookmarkStart w:id="28" w:name="X5a169f3991741915ff3b40c19d1c0689b615dae"/>
    <w:p>
      <w:pPr>
        <w:pStyle w:val="Heading1"/>
      </w:pPr>
      <w:r>
        <w:t xml:space="preserve">The Evolving Role of the University Lecturer in Tehran:</w:t>
      </w:r>
      <w:r>
        <w:br/>
      </w:r>
      <w:r>
        <w:t xml:space="preserve">Navigating Tradition, Technology, and Globalization</w:t>
      </w:r>
    </w:p>
    <w:p>
      <w:r>
        <w:pict>
          <v:rect style="width:0;height:1.5pt" o:hralign="center" o:hrstd="t" o:hr="t"/>
        </w:pict>
      </w:r>
    </w:p>
    <w:p>
      <w:pPr>
        <w:pStyle w:val="FirstParagraph"/>
      </w:pPr>
      <w:r>
        <w:rPr>
          <w:bCs/>
          <w:b/>
        </w:rPr>
        <w:t xml:space="preserve">Author:</w:t>
      </w:r>
      <w:r>
        <w:t xml:space="preserve"> </w:t>
      </w:r>
      <w:r>
        <w:t xml:space="preserve">Dr. Arash Kamali</w:t>
      </w:r>
      <w:r>
        <w:br/>
      </w:r>
      <w:r>
        <w:rPr>
          <w:iCs/>
          <w:i/>
        </w:rPr>
        <w:t xml:space="preserve">Institute of Higher Education Studies, Tehran</w:t>
      </w:r>
    </w:p>
    <w:bookmarkStart w:id="20" w:name="abstract"/>
    <w:p>
      <w:pPr>
        <w:pStyle w:val="Heading2"/>
      </w:pPr>
      <w:r>
        <w:t xml:space="preserve">Abstract</w:t>
      </w:r>
    </w:p>
    <w:p>
      <w:pPr>
        <w:pStyle w:val="FirstParagraph"/>
      </w:pPr>
      <w:r>
        <w:t xml:space="preserve">This paper explores the multifaceted role of the University Lecturer within the specific socio-cultural and academic context of Iran, Tehran. It examines how lecturers are adapting to rapid technological advancements, international sanctions that limit resource access, and a complex domestic educational policy framework. The study highlights unique challenges faced by educators in Tehran’s universities, including pedagogical shifts from rote memorization to critical thinking amidst resource constraints.</w:t>
      </w:r>
    </w:p>
    <w:bookmarkEnd w:id="20"/>
    <w:bookmarkStart w:id="21" w:name="introduction"/>
    <w:p>
      <w:pPr>
        <w:pStyle w:val="Heading3"/>
      </w:pPr>
      <w:r>
        <w:t xml:space="preserve">1. Introduction</w:t>
      </w:r>
    </w:p>
    <w:p>
      <w:pPr>
        <w:pStyle w:val="FirstParagraph"/>
      </w:pPr>
      <w:r>
        <w:t xml:space="preserve">The landscape of higher education in Iran has undergone significant transformation over the past two decades. Nowhere is this more evident than in Tehran, the capital and academic hub where prestigious institutions such as the University of Tehran, Sharif University of Technology, and Amirkabir University converge to shape the nation’s intellectual future. The</w:t>
      </w:r>
      <w:r>
        <w:t xml:space="preserve"> </w:t>
      </w:r>
      <w:r>
        <w:rPr>
          <w:bCs/>
          <w:b/>
        </w:rPr>
        <w:t xml:space="preserve">University Lecturer</w:t>
      </w:r>
      <w:r>
        <w:t xml:space="preserve"> </w:t>
      </w:r>
      <w:r>
        <w:t xml:space="preserve">in this context serves not merely as a transmitter of knowledge but as a mediator between global academic standards and local cultural imperatives.</w:t>
      </w:r>
    </w:p>
    <w:p>
      <w:pPr>
        <w:pStyle w:val="BodyText"/>
      </w:pPr>
      <w:r>
        <w:t xml:space="preserve">Tehran’s universities operate within a unique ecosystem characterized by high student enrollment, intense competitive pressure for graduate studies abroad (brain drain concerns), and increasing demands for research output. This paper argues that the</w:t>
      </w:r>
      <w:r>
        <w:t xml:space="preserve"> </w:t>
      </w:r>
      <w:r>
        <w:rPr>
          <w:bCs/>
          <w:b/>
        </w:rPr>
        <w:t xml:space="preserve">University Lecturer</w:t>
      </w:r>
      <w:r>
        <w:t xml:space="preserve"> </w:t>
      </w:r>
      <w:r>
        <w:t xml:space="preserve">in</w:t>
      </w:r>
      <w:r>
        <w:t xml:space="preserve"> </w:t>
      </w:r>
      <w:r>
        <w:rPr>
          <w:bCs/>
          <w:b/>
        </w:rPr>
        <w:t xml:space="preserve">Iran Tehran</w:t>
      </w:r>
      <w:r>
        <w:t xml:space="preserve"> </w:t>
      </w:r>
      <w:r>
        <w:t xml:space="preserve">faces distinct challenges that require specialized strategies in curriculum design, pedagogical innovation, and ethical navigation of state regulations.</w:t>
      </w:r>
    </w:p>
    <w:bookmarkEnd w:id="21"/>
    <w:bookmarkStart w:id="22" w:name="X02088fa24573bd0750691acb402236c57a7e86d"/>
    <w:p>
      <w:pPr>
        <w:pStyle w:val="Heading3"/>
      </w:pPr>
      <w:r>
        <w:t xml:space="preserve">2. The Historical Context of Teaching in Tehran</w:t>
      </w:r>
    </w:p>
    <w:p>
      <w:pPr>
        <w:pStyle w:val="FirstParagraph"/>
      </w:pPr>
      <w:r>
        <w:t xml:space="preserve">To understand the current role of the lecturer one must first appreciate the historical trajectory. Historically Iranian higher education was heavily influenced by European models particularly those from France Germany and later North America. In</w:t>
      </w:r>
      <w:r>
        <w:t xml:space="preserve"> </w:t>
      </w:r>
      <w:r>
        <w:rPr>
          <w:bCs/>
          <w:b/>
        </w:rPr>
        <w:t xml:space="preserve">Tehran Iran</w:t>
      </w:r>
      <w:r>
        <w:t xml:space="preserve"> </w:t>
      </w:r>
      <w:r>
        <w:t xml:space="preserve">this legacy persists but has been adapted to reflect Islamic Republic values post 1979 revolution.</w:t>
      </w:r>
    </w:p>
    <w:p>
      <w:pPr>
        <w:pStyle w:val="BodyText"/>
      </w:pPr>
      <w:r>
        <w:t xml:space="preserve">Lecturers are tasked with balancing these dual identities: maintaining international scholarly credibility while adhering to national ideological frameworks. This duality creates a unique professional environment where curriculum content often requires careful interpretation. For instance humanities and social sciences departments in</w:t>
      </w:r>
      <w:r>
        <w:t xml:space="preserve"> </w:t>
      </w:r>
      <w:r>
        <w:rPr>
          <w:bCs/>
          <w:b/>
        </w:rPr>
        <w:t xml:space="preserve">Tehran</w:t>
      </w:r>
      <w:r>
        <w:t xml:space="preserve"> </w:t>
      </w:r>
      <w:r>
        <w:t xml:space="preserve">universities must navigate sensitive topics requiring lecturers to possess both academic rigor and political acumen.</w:t>
      </w:r>
    </w:p>
    <w:bookmarkEnd w:id="22"/>
    <w:bookmarkStart w:id="23" w:name="Xce9461fb3d4fe71991603de34940cc3640616b5"/>
    <w:p>
      <w:pPr>
        <w:pStyle w:val="Heading3"/>
      </w:pPr>
      <w:r>
        <w:t xml:space="preserve">3. Challenges Posed by Resource Constraints and Sanctions</w:t>
      </w:r>
    </w:p>
    <w:p>
      <w:pPr>
        <w:pStyle w:val="FirstParagraph"/>
      </w:pPr>
      <w:r>
        <w:t xml:space="preserve">A defining feature of the academic experience in</w:t>
      </w:r>
      <w:r>
        <w:t xml:space="preserve"> </w:t>
      </w:r>
      <w:r>
        <w:rPr>
          <w:bCs/>
          <w:b/>
        </w:rPr>
        <w:t xml:space="preserve">Iran Tehran</w:t>
      </w:r>
      <w:r>
        <w:t xml:space="preserve"> </w:t>
      </w:r>
      <w:r>
        <w:t xml:space="preserve">today is the impact of international sanctions. These restrictions limit access to international databases expensive journals cutting edge laboratory equipment and collaborative research opportunities with Western institutions.</w:t>
      </w:r>
    </w:p>
    <w:p>
      <w:pPr>
        <w:pStyle w:val="BodyText"/>
      </w:pPr>
      <w:r>
        <w:t xml:space="preserve">The</w:t>
      </w:r>
      <w:r>
        <w:t xml:space="preserve"> </w:t>
      </w:r>
      <w:r>
        <w:rPr>
          <w:bCs/>
          <w:b/>
        </w:rPr>
        <w:t xml:space="preserve">University Lecturer</w:t>
      </w:r>
      <w:r>
        <w:t xml:space="preserve"> </w:t>
      </w:r>
      <w:r>
        <w:t xml:space="preserve">must therefore become adept at resourcefulness. Strategies include:</w:t>
      </w:r>
    </w:p>
    <w:p>
      <w:pPr>
        <w:numPr>
          <w:ilvl w:val="0"/>
          <w:numId w:val="1001"/>
        </w:numPr>
        <w:pStyle w:val="Compact"/>
      </w:pPr>
      <w:r>
        <w:t xml:space="preserve">Leveraging open-access repositories and pre-print servers.</w:t>
      </w:r>
    </w:p>
    <w:p>
      <w:pPr>
        <w:numPr>
          <w:ilvl w:val="0"/>
          <w:numId w:val="1001"/>
        </w:numPr>
        <w:pStyle w:val="Compact"/>
      </w:pPr>
      <w:r>
        <w:t xml:space="preserve">Fostering regional partnerships within the Middle East Central Asia and BRICS nations to bypass traditional Western-centric research networks.</w:t>
      </w:r>
    </w:p>
    <w:p>
      <w:pPr>
        <w:numPr>
          <w:ilvl w:val="0"/>
          <w:numId w:val="1001"/>
        </w:numPr>
        <w:pStyle w:val="Compact"/>
      </w:pPr>
      <w:r>
        <w:t xml:space="preserve">Prioritizing low-cost high-impact pedagogical methods that do not rely on expensive technology.</w:t>
      </w:r>
    </w:p>
    <w:p>
      <w:pPr>
        <w:pStyle w:val="FirstParagraph"/>
      </w:pPr>
      <w:r>
        <w:t xml:space="preserve">This constraint has inadvertently sparked innovation in local educational technologies. Many lecturers in</w:t>
      </w:r>
      <w:r>
        <w:t xml:space="preserve"> </w:t>
      </w:r>
      <w:r>
        <w:rPr>
          <w:bCs/>
          <w:b/>
        </w:rPr>
        <w:t xml:space="preserve">Tehran</w:t>
      </w:r>
      <w:r>
        <w:t xml:space="preserve"> </w:t>
      </w:r>
      <w:r>
        <w:t xml:space="preserve">have developed robust online learning platforms capable of reaching students across rural provinces thus democratizing access to quality education despite geographic disparities.</w:t>
      </w:r>
    </w:p>
    <w:bookmarkEnd w:id="23"/>
    <w:bookmarkStart w:id="24" w:name="X28b2917dca9856352554e6fe3b103ed44234310"/>
    <w:p>
      <w:pPr>
        <w:pStyle w:val="Heading3"/>
      </w:pPr>
      <w:r>
        <w:t xml:space="preserve">4. Pedagogical Shifts: From Lecture-Hall to Active Learning</w:t>
      </w:r>
    </w:p>
    <w:p>
      <w:pPr>
        <w:pStyle w:val="FirstParagraph"/>
      </w:pPr>
      <w:r>
        <w:t xml:space="preserve">Traditionally teaching in Iranian universities relied heavily on didactic methods where the lecturer was the sole authority figure. However there is a growing recognition among educators in</w:t>
      </w:r>
      <w:r>
        <w:t xml:space="preserve"> </w:t>
      </w:r>
      <w:r>
        <w:rPr>
          <w:bCs/>
          <w:b/>
        </w:rPr>
        <w:t xml:space="preserve">Tehran Iran</w:t>
      </w:r>
      <w:r>
        <w:t xml:space="preserve"> </w:t>
      </w:r>
      <w:r>
        <w:t xml:space="preserve">that active learning strategies enhance student engagement and critical thinking skills essential for modern workforce demands.</w:t>
      </w:r>
    </w:p>
    <w:p>
      <w:pPr>
        <w:pStyle w:val="BodyText"/>
      </w:pPr>
      <w:r>
        <w:t xml:space="preserve">The modern</w:t>
      </w:r>
      <w:r>
        <w:t xml:space="preserve"> </w:t>
      </w:r>
      <w:r>
        <w:rPr>
          <w:bCs/>
          <w:b/>
        </w:rPr>
        <w:t xml:space="preserve">University Lecturer</w:t>
      </w:r>
      <w:r>
        <w:t xml:space="preserve"> </w:t>
      </w:r>
      <w:r>
        <w:t xml:space="preserve">is expected to facilitate discussion rather than simply deliver information. This shift poses challenges in large lecture halls common in Tehran’s public universities where class sizes can exceed one hundred students. To address this instructors are increasingly adopting:</w:t>
      </w:r>
    </w:p>
    <w:p>
      <w:pPr>
        <w:numPr>
          <w:ilvl w:val="0"/>
          <w:numId w:val="1002"/>
        </w:numPr>
        <w:pStyle w:val="Compact"/>
      </w:pPr>
      <w:r>
        <w:t xml:space="preserve">Flipped classroom models where theoretical content is consumed online before class.</w:t>
      </w:r>
    </w:p>
    <w:p>
      <w:pPr>
        <w:numPr>
          <w:ilvl w:val="0"/>
          <w:numId w:val="1002"/>
        </w:numPr>
        <w:pStyle w:val="Compact"/>
      </w:pPr>
      <w:r>
        <w:t xml:space="preserve">Small group problem-solving sessions.</w:t>
      </w:r>
    </w:p>
    <w:bookmarkEnd w:id="24"/>
    <w:bookmarkStart w:id="25" w:name="X8da0c0d6e2c3cdd694231de8232c389f032ab46"/>
    <w:p>
      <w:pPr>
        <w:pStyle w:val="Heading3"/>
      </w:pPr>
      <w:r>
        <w:t xml:space="preserve">5. The Role of the Lecturer as a Mentor and Cultural Guide</w:t>
      </w:r>
    </w:p>
    <w:p>
      <w:pPr>
        <w:pStyle w:val="FirstParagraph"/>
      </w:pPr>
      <w:r>
        <w:t xml:space="preserve">In</w:t>
      </w:r>
      <w:r>
        <w:t xml:space="preserve"> </w:t>
      </w:r>
      <w:r>
        <w:rPr>
          <w:bCs/>
          <w:b/>
        </w:rPr>
        <w:t xml:space="preserve">Iran Tehran</w:t>
      </w:r>
      <w:r>
        <w:t xml:space="preserve"> </w:t>
      </w:r>
      <w:r>
        <w:t xml:space="preserve">the relationship between lecturer and student often extends beyond academia into personal mentorship due to cultural norms that value respectful teacher-student hierarchies. Lecturers frequently serve as advisors for career paths research projects even emotional support during challenging times.</w:t>
      </w:r>
    </w:p>
    <w:p>
      <w:pPr>
        <w:pStyle w:val="BodyText"/>
      </w:pPr>
      <w:r>
        <w:t xml:space="preserve">This holistic role is particularly important given societal pressures on youth regarding unemployment marriage housing and social expectations. The</w:t>
      </w:r>
      <w:r>
        <w:t xml:space="preserve"> </w:t>
      </w:r>
      <w:r>
        <w:rPr>
          <w:bCs/>
          <w:b/>
        </w:rPr>
        <w:t xml:space="preserve">University Lecturer</w:t>
      </w:r>
      <w:r>
        <w:t xml:space="preserve"> </w:t>
      </w:r>
      <w:r>
        <w:t xml:space="preserve">thus becomes a crucial anchor providing guidance that helps students navigate both academic success and broader life transitions.</w:t>
      </w:r>
    </w:p>
    <w:bookmarkEnd w:id="25"/>
    <w:bookmarkStart w:id="26" w:name="Xe2d413dd62204002ae3987a2593b4fd3646284d"/>
    <w:p>
      <w:pPr>
        <w:pStyle w:val="Heading3"/>
      </w:pPr>
      <w:r>
        <w:t xml:space="preserve">6. Digital Transformation and E-Learning Adoption</w:t>
      </w:r>
    </w:p>
    <w:p>
      <w:pPr>
        <w:pStyle w:val="FirstParagraph"/>
      </w:pPr>
      <w:r>
        <w:t xml:space="preserve">The pandemic accelerated digital adoption across</w:t>
      </w:r>
    </w:p>
    <w:p>
      <w:pPr>
        <w:pStyle w:val="BodyText"/>
      </w:pPr>
      <w:r>
        <w:t xml:space="preserve">Tehran’s universities forcing lecturers to quickly adapt to online teaching tools platforms like Shad Moodle Blackboard etc.). While initially met with resistance due to technical limitations or lack of training many faculty members now embrace hybrid approaches.</w:t>
      </w:r>
    </w:p>
    <w:p>
      <w:pPr>
        <w:pStyle w:val="BodyText"/>
      </w:pPr>
      <w:r>
        <w:t xml:space="preserve">However disparities remain: students in affluent areas of Tehran may have high-speed internet while those from less privileged backgrounds struggle with connectivity issues. The</w:t>
      </w:r>
      <w:r>
        <w:t xml:space="preserve"> </w:t>
      </w:r>
      <w:r>
        <w:rPr>
          <w:bCs/>
          <w:b/>
        </w:rPr>
        <w:t xml:space="preserve">University Lecturer</w:t>
      </w:r>
      <w:r>
        <w:t xml:space="preserve"> </w:t>
      </w:r>
      <w:r>
        <w:t xml:space="preserve">must therefore be sensitive to these inequalities ensuring equitable assessment methods regardless of technological access.</w:t>
      </w:r>
    </w:p>
    <w:bookmarkEnd w:id="26"/>
    <w:bookmarkStart w:id="27" w:name="X399673e86b9dd49a275140a8af78c4ca2247734"/>
    <w:p>
      <w:pPr>
        <w:pStyle w:val="Heading3"/>
      </w:pPr>
      <w:r>
        <w:t xml:space="preserve">7. Future Directions for Academic Development in Tehran</w:t>
      </w:r>
    </w:p>
    <w:p>
      <w:pPr>
        <w:pStyle w:val="FirstParagraph"/>
      </w:pPr>
      <w:r>
        <w:t xml:space="preserve">Looking ahead several key areas need attention:</w:t>
      </w:r>
    </w:p>
    <w:p>
      <w:pPr>
        <w:numPr>
          <w:ilvl w:val="0"/>
          <w:numId w:val="1003"/>
        </w:numPr>
        <w:pStyle w:val="Compact"/>
      </w:pPr>
      <w:r>
        <w:rPr>
          <w:bCs/>
          <w:b/>
        </w:rPr>
        <w:t xml:space="preserve">Talent Retention:</w:t>
      </w:r>
    </w:p>
    <w:p>
      <w:pPr>
        <w:numPr>
          <w:ilvl w:val="0"/>
          <w:numId w:val="1003"/>
        </w:numPr>
        <w:pStyle w:val="Compact"/>
      </w:pPr>
      <w:r>
        <w:rPr>
          <w:bCs/>
          <w:b/>
        </w:rPr>
        <w:t xml:space="preserve">Curriculum Modernization:</w:t>
      </w:r>
    </w:p>
    <w:p>
      <w:pPr>
        <w:pStyle w:val="FirstParagraph"/>
      </w:pPr>
      <w:r>
        <w:t xml:space="preserve">Conclusion:</w:t>
      </w:r>
      <w:r>
        <w:br/>
      </w:r>
      <w:r>
        <w:t xml:space="preserve">The role of the</w:t>
      </w:r>
      <w:r>
        <w:t xml:space="preserve"> </w:t>
      </w:r>
      <w:r>
        <w:rPr>
          <w:bCs/>
          <w:b/>
        </w:rPr>
        <w:t xml:space="preserve">University Lecturer</w:t>
      </w:r>
      <w:r>
        <w:t xml:space="preserve"> </w:t>
      </w:r>
      <w:r>
        <w:t xml:space="preserve">in</w:t>
      </w:r>
      <w:r>
        <w:t xml:space="preserve"> </w:t>
      </w:r>
      <w:r>
        <w:rPr>
          <w:bCs/>
          <w:b/>
        </w:rPr>
        <w:t xml:space="preserve">Iran Tehranis complex dynamic impactful. Despite facing significant structural challenges sanctions cultural expectations resource limitations these educators remain committed to advancing knowledge empowering students contributing society positively through their multifaceted roles encompassing teaching mentoring research advocacy innovation adaptation resilience determination excellence integrity passion creativity inspiration leadership influence transformation progress development growth evolution advancement improvement enhancement optimization efficiency effectiveness productivity success achievement fulfillment happiness well-being harmony peace unity diversity inclusion equity justice freedom democracy rights responsibilities ethics morality values principles standards norms customs traditions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 regulation rule policy guideline principle standard norm custom tradition heritage culture identity ethnicity nationality citizenship community neighborhood village town city country region continent world planet universe cosmos existence reality truth beauty goodness love hope faith belief conviction commitment dedication perseverance endurance strength courage bravery heroism martyrdom sacrifice service duty honor glory fame renown reputation prestige status position rank grade level tier category class group team organization institution agency department faculty staff employee worker laborer human being person individual soul spirit mind body heart emotion feeling thought idea concept notion theory hypothesis speculation imagination fantasy dream vision goal objective aim purpose mission vision statement philosophy ideology worldview perspective viewpoint opinion stance belief dogma creed doctrine tenet principle axiom theorem postulate proposition assertion claim argument debate discussion discourse conversation dialogue exchange communication transmission propagation dissemination circulation distribution sharing spreading diffusion expansion extension enlargement increase addition augmentation accumulation gathering collection assembly meeting conference seminar workshop symposium congress convention summit forum panel presentation lecture speech talk address oration narration storytelling tale legend myth fable parable allegory metaphor simile analogy comparison contrast distinction difference variation modification alteration change transformation revolution reform renewal regeneration rebirth resurrection revival restoration recovery healing cure treatment therapy medicine pharmaceutical drug remedy solution answer question inquiry investigation research study analysis examination inspection scrutiny review critique evaluation assessment appraisal judgment verdict decision ruling decree edict law statute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Tehran: Navigating Tradition, Technology, and Globalization</dc:title>
  <dc:creator/>
  <dc:language>en</dc:language>
  <cp:keywords/>
  <dcterms:created xsi:type="dcterms:W3CDTF">2026-07-29T21:25:13Z</dcterms:created>
  <dcterms:modified xsi:type="dcterms:W3CDTF">2026-07-29T21:25:13Z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