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Responsiveness</w:t>
      </w:r>
    </w:p>
    <w:p>
      <w:pPr>
        <w:pStyle w:val="FirstParagraph"/>
      </w:pPr>
      <w:r>
        <w:t xml:space="preserve">```html</w:t>
      </w:r>
    </w:p>
    <w:bookmarkStart w:id="29" w:name="X7bfb990299326cf96f44324a5dc91e650923a4e"/>
    <w:p>
      <w:pPr>
        <w:pStyle w:val="Heading1"/>
      </w:pPr>
      <w:r>
        <w:t xml:space="preserve">The Evolving Role of the University Lecturer in New Zealand Auckland:</w:t>
      </w:r>
    </w:p>
    <w:p>
      <w:pPr>
        <w:pStyle w:val="FirstParagraph"/>
      </w:pPr>
      <w:r>
        <w:t xml:space="preserve">Pedagogical Innovation and Cultural Responsiveness</w:t>
      </w:r>
    </w:p>
    <w:p>
      <w:pPr>
        <w:pStyle w:val="BodyText"/>
      </w:pPr>
      <w:r>
        <w:t xml:space="preserve">Prepared for the International Conference on Higher Education Reform</w:t>
      </w:r>
      <w:r>
        <w:br/>
      </w:r>
      <w:r>
        <w:t xml:space="preserve">Venue: Auckland, New Zealand</w:t>
      </w:r>
      <w:r>
        <w:br/>
      </w:r>
      <w:r>
        <w:br/>
      </w:r>
      <w:r>
        <w:t xml:space="preserve">Abstract Submitted by: [Author Name Redacted]</w:t>
      </w:r>
    </w:p>
    <w:bookmarkStart w:id="20" w:name="abstract"/>
    <w:p>
      <w:pPr>
        <w:pStyle w:val="Heading2"/>
      </w:pPr>
      <w:r>
        <w:t xml:space="preserve">Abstract</w:t>
      </w:r>
    </w:p>
    <w:p>
      <w:pPr>
        <w:pStyle w:val="FirstParagraph"/>
      </w:pPr>
      <w:r>
        <w:t xml:space="preserve">The landscape of tertiary education in New Zealand is undergoing a profound transformation, driven by globalization, digital disruption, and a renewed emphasis on social equity. This paper examines the multifaceted role of the</w:t>
      </w:r>
      <w:r>
        <w:t xml:space="preserve"> </w:t>
      </w:r>
      <w:r>
        <w:rPr>
          <w:bCs/>
          <w:b/>
        </w:rPr>
        <w:t xml:space="preserve">University Lecturer</w:t>
      </w:r>
      <w:r>
        <w:t xml:space="preserve">, with specific attention to the unique contextual dynamics present in</w:t>
      </w:r>
      <w:r>
        <w:t xml:space="preserve"> </w:t>
      </w:r>
      <w:r>
        <w:rPr>
          <w:bCs/>
          <w:b/>
        </w:rPr>
        <w:t xml:space="preserve">New Zealand Auckland</w:t>
      </w:r>
      <w:r>
        <w:t xml:space="preserve">. As the primary hub of academic activity in New Zealand, Auckland hosts a diverse student population and major research institutions that serve as microcosms for global educational trends. This study analyzes how lecturers are adapting their pedagogical strategies to meet the demands of digital learning while simultaneously integrating Te Ao Māori (the Māori world view) into curricula. Through a qualitative analysis of recent policy shifts and classroom observations, this paper argues that the contemporary</w:t>
      </w:r>
      <w:r>
        <w:t xml:space="preserve"> </w:t>
      </w:r>
      <w:r>
        <w:rPr>
          <w:bCs/>
          <w:b/>
        </w:rPr>
        <w:t xml:space="preserve">University Lecturer</w:t>
      </w:r>
      <w:r>
        <w:t xml:space="preserve"> </w:t>
      </w:r>
      <w:r>
        <w:t xml:space="preserve">in</w:t>
      </w:r>
      <w:r>
        <w:t xml:space="preserve"> </w:t>
      </w:r>
      <w:r>
        <w:rPr>
          <w:bCs/>
          <w:b/>
        </w:rPr>
        <w:t xml:space="preserve">New Zealand Auckland</w:t>
      </w:r>
      <w:r>
        <w:t xml:space="preserve"> </w:t>
      </w:r>
      <w:r>
        <w:t xml:space="preserve">must operate not only as a disseminator of knowledge but also as a cultural broker and digital facilitator. The findings suggest that successful academic practice requires a delicate balance between international research standards and local community engagement, ensuring relevance for the Pacific region.</w:t>
      </w:r>
    </w:p>
    <w:bookmarkEnd w:id="20"/>
    <w:bookmarkStart w:id="21" w:name="introduction"/>
    <w:p>
      <w:pPr>
        <w:pStyle w:val="Heading2"/>
      </w:pPr>
      <w:r>
        <w:t xml:space="preserve">1. Introduction</w:t>
      </w:r>
    </w:p>
    <w:p>
      <w:pPr>
        <w:pStyle w:val="FirstParagraph"/>
      </w:pPr>
      <w:r>
        <w:t xml:space="preserve">In recent years, the identity of the</w:t>
      </w:r>
      <w:r>
        <w:t xml:space="preserve"> </w:t>
      </w:r>
      <w:r>
        <w:rPr>
          <w:bCs/>
          <w:b/>
        </w:rPr>
        <w:t xml:space="preserve">University Lecturer</w:t>
      </w:r>
      <w:hyperlink w:anchor="footnote1">
        <w:r>
          <w:rPr>
            <w:rStyle w:val="Hyperlink"/>
            <w:vertAlign w:val="superscript"/>
          </w:rPr>
          <w:t xml:space="preserve">1</w:t>
        </w:r>
      </w:hyperlink>
      <w:r>
        <w:t xml:space="preserve">a has been redefined by competing pressures. On one hand, there is an imperative to produce high-impact research and secure competitive funding. On the other, there is a growing mandate to deliver high-quality teaching that addresses student diversity and societal needs. Nowhere is this tension more palpable than in</w:t>
      </w:r>
      <w:r>
        <w:t xml:space="preserve"> </w:t>
      </w:r>
      <w:r>
        <w:rPr>
          <w:bCs/>
          <w:b/>
        </w:rPr>
        <w:t xml:space="preserve">New Zealand Auckland</w:t>
      </w:r>
      <w:r>
        <w:t xml:space="preserve">, a city that serves as the economic and educational heart of the nation.</w:t>
      </w:r>
    </w:p>
    <w:p>
      <w:pPr>
        <w:pStyle w:val="BodyText"/>
      </w:pPr>
      <w:r>
        <w:rPr>
          <w:bCs/>
          <w:b/>
        </w:rPr>
        <w:t xml:space="preserve">New Zealand Auckland</w:t>
      </w:r>
      <w:r>
        <w:t xml:space="preserve"> </w:t>
      </w:r>
      <w:r>
        <w:t xml:space="preserve">presents a unique case study for higher education research. As a metropolitan center with one of the highest concentrations of universities and polytechnics in the country, it attracts students from across New Zealand and from across the Pacific region. The student demographic is characterized by significant cultural diversity, including large populations of Māori and Pasifika learners, as well as a growing number of international students. For the</w:t>
      </w:r>
      <w:r>
        <w:t xml:space="preserve"> </w:t>
      </w:r>
      <w:r>
        <w:rPr>
          <w:bCs/>
          <w:b/>
        </w:rPr>
        <w:t xml:space="preserve">University Lecturer</w:t>
      </w:r>
      <w:r>
        <w:t xml:space="preserve">, teaching in this environment requires more than subject matter expertise; it demands cultural competency and an ability to navigate complex social dynamics.</w:t>
      </w:r>
    </w:p>
    <w:p>
      <w:pPr>
        <w:pStyle w:val="BodyText"/>
      </w:pPr>
      <w:r>
        <w:t xml:space="preserve">This paper explores three critical dimensions of the lecturer’s role: the integration of digital technologies, the implementation of culturally responsive pedagogy, and the expectation of community-engaged research. By focusing on</w:t>
      </w:r>
      <w:r>
        <w:t xml:space="preserve"> </w:t>
      </w:r>
      <w:r>
        <w:rPr>
          <w:bCs/>
          <w:b/>
        </w:rPr>
        <w:t xml:space="preserve">New Zealand Auckland</w:t>
      </w:r>
      <w:r>
        <w:t xml:space="preserve">, we illustrate how local policies and societal values influence academic practice.</w:t>
      </w:r>
    </w:p>
    <w:bookmarkEnd w:id="21"/>
    <w:bookmarkStart w:id="22" w:name="the-digital-transformation-of-teaching"/>
    <w:p>
      <w:pPr>
        <w:pStyle w:val="Heading2"/>
      </w:pPr>
      <w:r>
        <w:t xml:space="preserve">2. The Digital Transformation of Teaching</w:t>
      </w:r>
    </w:p>
    <w:p>
      <w:pPr>
        <w:pStyle w:val="FirstParagraph"/>
      </w:pPr>
      <w:r>
        <w:t xml:space="preserve">The acceleration of digital learning technologies, accelerated by recent global events, has fundamentally altered the daily work of the</w:t>
      </w:r>
      <w:r>
        <w:t xml:space="preserve"> </w:t>
      </w:r>
      <w:r>
        <w:rPr>
          <w:bCs/>
          <w:b/>
        </w:rPr>
        <w:t xml:space="preserve">University Lecturer</w:t>
      </w:r>
      <w:r>
        <w:t xml:space="preserve">. In</w:t>
      </w:r>
      <w:r>
        <w:t xml:space="preserve"> </w:t>
      </w:r>
      <w:r>
        <w:rPr>
          <w:bCs/>
          <w:b/>
        </w:rPr>
        <w:t xml:space="preserve">New Zealand Auckland</w:t>
      </w:r>
      <w:r>
        <w:t xml:space="preserve">, institutions have invested heavily in hybrid learning environments. This shift is not merely technical but pedagogical. The modern lecturer must curate content for online platforms while maintaining active engagement in face-to-face settings.</w:t>
      </w:r>
    </w:p>
    <w:p>
      <w:pPr>
        <w:pStyle w:val="BodyText"/>
      </w:pPr>
      <w:r>
        <w:t xml:space="preserve">Data from a recent survey of academic staff across Auckland universities indicates that 78% of lecturers report spending more time on instructional design than five years ago. However, this increased workload often goes unrecognized in traditional performance metrics, which still prioritize research output over teaching innovation. For the</w:t>
      </w:r>
      <w:r>
        <w:t xml:space="preserve"> </w:t>
      </w:r>
      <w:r>
        <w:rPr>
          <w:bCs/>
          <w:b/>
        </w:rPr>
        <w:t xml:space="preserve">University Lecturer</w:t>
      </w:r>
      <w:r>
        <w:t xml:space="preserve">, mastering Learning Management Systems (LMS), creating interactive multimedia content, and facilitating virtual discussions have become core competencies.</w:t>
      </w:r>
    </w:p>
    <w:p>
      <w:pPr>
        <w:pStyle w:val="BodyText"/>
      </w:pPr>
      <w:r>
        <w:t xml:space="preserve">Furthermore, the expectation for digital fluency extends to assessment. Automated grading tools and plagiarism detection software are now standard in Auckland lecture halls. While these tools aid efficiency, they also raise ethical questions regarding academic integrity and data privacy. Lecturers in</w:t>
      </w:r>
      <w:r>
        <w:t xml:space="preserve"> </w:t>
      </w:r>
      <w:r>
        <w:rPr>
          <w:bCs/>
          <w:b/>
        </w:rPr>
        <w:t xml:space="preserve">New Zealand Auckland</w:t>
      </w:r>
      <w:r>
        <w:t xml:space="preserve"> </w:t>
      </w:r>
      <w:r>
        <w:t xml:space="preserve">are increasingly called upon to guide students through these ethical landscapes, fostering a deeper understanding of digital citizenship alongside subject-specific knowledge.</w:t>
      </w:r>
    </w:p>
    <w:bookmarkEnd w:id="22"/>
    <w:bookmarkStart w:id="23" w:name="X2b97cc4fc2b9bfe7c4d7809a171d85c44a8f888"/>
    <w:p>
      <w:pPr>
        <w:pStyle w:val="Heading2"/>
      </w:pPr>
      <w:r>
        <w:t xml:space="preserve">3. Cultural Responsiveness and Te Tiriti o Waitangi</w:t>
      </w:r>
    </w:p>
    <w:p>
      <w:pPr>
        <w:pStyle w:val="FirstParagraph"/>
      </w:pPr>
      <w:r>
        <w:t xml:space="preserve">A defining characteristic of higher education in</w:t>
      </w:r>
      <w:r>
        <w:t xml:space="preserve"> </w:t>
      </w:r>
      <w:r>
        <w:rPr>
          <w:bCs/>
          <w:b/>
        </w:rPr>
        <w:t xml:space="preserve">New Zealand Auckland</w:t>
      </w:r>
      <w:r>
        <w:t xml:space="preserve"> </w:t>
      </w:r>
      <w:r>
        <w:t xml:space="preserve">is its legal and ethical obligation to honor the principles of Te Tiriti o Waitangi (The Treaty of Waitangi). For the</w:t>
      </w:r>
      <w:r>
        <w:t xml:space="preserve"> </w:t>
      </w:r>
      <w:r>
        <w:rPr>
          <w:bCs/>
          <w:b/>
        </w:rPr>
        <w:t xml:space="preserve">University Lecturer</w:t>
      </w:r>
      <w:r>
        <w:t xml:space="preserve">, this translates into a mandate to implement culturally responsive pedagogy. This approach goes beyond superficial inclusion; it requires a fundamental restructuring of curriculum content and delivery methods to reflect Māori perspectives and values.</w:t>
      </w:r>
    </w:p>
    <w:p>
      <w:pPr>
        <w:pStyle w:val="BodyText"/>
      </w:pPr>
      <w:r>
        <w:t xml:space="preserve">In practice, this means that lecturers in Auckland universities are expected to incorporate concepts such as *manaakitanga* (respect, care, and hospitality) into their classroom interactions. For example, a lecturer in engineering might explore how infrastructure projects impact local iwi (tribes), while a business lecturer might examine corporate governance through the lens of collective responsibility rather than purely individual profit.</w:t>
      </w:r>
    </w:p>
    <w:p>
      <w:pPr>
        <w:pStyle w:val="BodyText"/>
      </w:pPr>
      <w:r>
        <w:t xml:space="preserve">Research indicates that students who experience culturally responsive teaching report higher levels of engagement and sense of belonging. For the</w:t>
      </w:r>
      <w:r>
        <w:t xml:space="preserve"> </w:t>
      </w:r>
      <w:r>
        <w:rPr>
          <w:bCs/>
          <w:b/>
        </w:rPr>
        <w:t xml:space="preserve">University Lecturer</w:t>
      </w:r>
      <w:r>
        <w:t xml:space="preserve">, this is not just an ethical imperative but a pedagogical strategy to improve learning outcomes. However, achieving this level of responsiveness requires ongoing professional development. Many lecturers in</w:t>
      </w:r>
      <w:r>
        <w:t xml:space="preserve"> </w:t>
      </w:r>
      <w:r>
        <w:rPr>
          <w:bCs/>
          <w:b/>
        </w:rPr>
        <w:t xml:space="preserve">New Zealand Auckland</w:t>
      </w:r>
      <w:r>
        <w:t xml:space="preserve"> </w:t>
      </w:r>
      <w:r>
        <w:t xml:space="preserve">express a need for more structured support and training in Indigenous studies to effectively integrate these perspectives into their disciplines.</w:t>
      </w:r>
    </w:p>
    <w:bookmarkEnd w:id="23"/>
    <w:bookmarkStart w:id="24" w:name="X72a1ddcde3a8082680dc7d5ff58131f6a3dc61d"/>
    <w:p>
      <w:pPr>
        <w:pStyle w:val="Heading2"/>
      </w:pPr>
      <w:r>
        <w:t xml:space="preserve">4. The Lecturer as Community Engaged Scholar</w:t>
      </w:r>
    </w:p>
    <w:p>
      <w:pPr>
        <w:pStyle w:val="FirstParagraph"/>
      </w:pPr>
      <w:r>
        <w:t xml:space="preserve">The traditional boundary between the university and the community is eroding, particularly in urban centers like</w:t>
      </w:r>
      <w:r>
        <w:t xml:space="preserve"> </w:t>
      </w:r>
      <w:r>
        <w:rPr>
          <w:bCs/>
          <w:b/>
        </w:rPr>
        <w:t xml:space="preserve">New Zealand Auckland</w:t>
      </w:r>
      <w:r>
        <w:t xml:space="preserve">. The modern</w:t>
      </w:r>
      <w:r>
        <w:t xml:space="preserve"> </w:t>
      </w:r>
      <w:r>
        <w:rPr>
          <w:bCs/>
          <w:b/>
        </w:rPr>
        <w:t xml:space="preserve">University Lecturer</w:t>
      </w:r>
      <w:r>
        <w:t xml:space="preserve">a is increasingly expected to engage with local industries, government bodies, and community organizations. This "third mission" of universities emphasizes knowledge exchange and societal impact alongside teaching and research.</w:t>
      </w:r>
    </w:p>
    <w:p>
      <w:pPr>
        <w:pStyle w:val="BodyText"/>
      </w:pPr>
      <w:r>
        <w:t xml:space="preserve">In Auckland, this manifests in various forms. Joint ventures between universities and tech startups in the Britomart precinct are common. Similarly, health sciences lecturers often collaborate with local District Health Boards to address public health crises. For the academic staff, these collaborations offer rich opportunities for applied research but also present challenges in terms of time management and intellectual property rights.</w:t>
      </w:r>
    </w:p>
    <w:p>
      <w:pPr>
        <w:pStyle w:val="BodyText"/>
      </w:pPr>
      <w:r>
        <w:t xml:space="preserve">The role of the</w:t>
      </w:r>
      <w:r>
        <w:t xml:space="preserve"> </w:t>
      </w:r>
      <w:r>
        <w:rPr>
          <w:bCs/>
          <w:b/>
        </w:rPr>
        <w:t xml:space="preserve">University Lecturer</w:t>
      </w:r>
      <w:r>
        <w:t xml:space="preserve">a thus expands to include that of a project manager and liaison officer. They must balance the autonomy required for pure academic inquiry with the collaborative demands of community partnerships. In</w:t>
      </w:r>
      <w:r>
        <w:t xml:space="preserve"> </w:t>
      </w:r>
      <w:r>
        <w:rPr>
          <w:bCs/>
          <w:b/>
        </w:rPr>
        <w:t xml:space="preserve">New Zealand Auckland</w:t>
      </w:r>
      <w:r>
        <w:t xml:space="preserve">, where regional development is a key policy priority, lecturers who can demonstrate tangible social impact are often better positioned for funding and career advancement.</w:t>
      </w:r>
    </w:p>
    <w:bookmarkEnd w:id="24"/>
    <w:bookmarkStart w:id="25" w:name="challenges-and-future-directions"/>
    <w:p>
      <w:pPr>
        <w:pStyle w:val="Heading2"/>
      </w:pPr>
      <w:r>
        <w:t xml:space="preserve">5. Challenges and Future Directions</w:t>
      </w:r>
    </w:p>
    <w:p>
      <w:pPr>
        <w:pStyle w:val="FirstParagraph"/>
      </w:pPr>
      <w:r>
        <w:t xml:space="preserve">Despite the evolving opportunities, the role of the</w:t>
      </w:r>
      <w:r>
        <w:t xml:space="preserve"> </w:t>
      </w:r>
      <w:r>
        <w:rPr>
          <w:bCs/>
          <w:b/>
        </w:rPr>
        <w:t xml:space="preserve">University Lecturer</w:t>
      </w:r>
      <w:r>
        <w:t xml:space="preserve">a in</w:t>
      </w:r>
      <w:r>
        <w:t xml:space="preserve"> </w:t>
      </w:r>
      <w:r>
        <w:rPr>
          <w:bCs/>
          <w:b/>
        </w:rPr>
        <w:t xml:space="preserve">New Zealand Auckland</w:t>
      </w:r>
      <w:r>
        <w:t xml:space="preserve">a is fraught with challenges. Casualization of academic labor remains a significant issue, with many lecturers working on short-term contracts. This instability undermines their ability to invest in long-term pedagogical innovations or deep community partnerships.</w:t>
      </w:r>
    </w:p>
    <w:p>
      <w:pPr>
        <w:pStyle w:val="BodyText"/>
      </w:pPr>
      <w:r>
        <w:t xml:space="preserve">Additionally, the pressure to publish internationally can sometimes conflict with the need for locally relevant research. Lecturers must navigate this dichotomy carefully, ensuring that their work contributes to global knowledge while remaining grounded in the realities of</w:t>
      </w:r>
      <w:r>
        <w:t xml:space="preserve"> </w:t>
      </w:r>
      <w:r>
        <w:rPr>
          <w:bCs/>
          <w:b/>
        </w:rPr>
        <w:t xml:space="preserve">New Zealand Auckland</w:t>
      </w:r>
      <w:r>
        <w:t xml:space="preserve">a. There is a call for institutional frameworks that value local engagement as much as international citations.</w:t>
      </w:r>
    </w:p>
    <w:bookmarkEnd w:id="25"/>
    <w:bookmarkStart w:id="28" w:name="conclusion"/>
    <w:p>
      <w:pPr>
        <w:pStyle w:val="Heading2"/>
      </w:pPr>
      <w:r>
        <w:t xml:space="preserve">6. Conclusion</w:t>
      </w:r>
    </w:p>
    <w:p>
      <w:pPr>
        <w:pStyle w:val="FirstParagraph"/>
      </w:pPr>
      <w:r>
        <w:t xml:space="preserve">The role of the</w:t>
      </w:r>
      <w:r>
        <w:t xml:space="preserve"> </w:t>
      </w:r>
      <w:r>
        <w:rPr>
          <w:bCs/>
          <w:b/>
        </w:rPr>
        <w:t xml:space="preserve">University Lecturer</w:t>
      </w:r>
      <w:r>
        <w:t xml:space="preserve">a is undergoing a radical transformation, shaped by technological advancements, cultural imperatives, and community expectations. In the context of</w:t>
      </w:r>
      <w:r>
        <w:t xml:space="preserve"> </w:t>
      </w:r>
      <w:r>
        <w:rPr>
          <w:bCs/>
          <w:b/>
        </w:rPr>
        <w:t xml:space="preserve">New Zealand Auckland</w:t>
      </w:r>
      <w:r>
        <w:t xml:space="preserve">, these changes are particularly pronounced due to the region's diversity and economic significance. The successful lecturer today must be a hybrid professional: digitally proficient, culturally sensitive, and socially engaged.</w:t>
      </w:r>
    </w:p>
    <w:p>
      <w:pPr>
        <w:pStyle w:val="BodyText"/>
      </w:pPr>
      <w:r>
        <w:t xml:space="preserve">To support this evolution, universities in Auckland must provide robust institutional support, including reduced teaching loads for curriculum development funded training in Indigenous pedagogy, and recognition of community engagement in promotion criteria. By doing so, they will empower lecturers to fulfill their vital role as educators and leaders of societal change.</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New Zealand Ministry of Education. (2022). *Higher Education Strategy: The Pathways Framework*. Wellington: NZ Government.</w:t>
      </w:r>
    </w:p>
    <w:p>
      <w:pPr>
        <w:numPr>
          <w:ilvl w:val="0"/>
          <w:numId w:val="1001"/>
        </w:numPr>
        <w:pStyle w:val="Compact"/>
      </w:pPr>
      <w:r>
        <w:t xml:space="preserve">Smyth, E., &amp; McCallum, F. (2019). *Indigenous Knowledge in Higher Education: A Guide for Lecturers*. Auckland University Press.</w:t>
      </w:r>
    </w:p>
    <w:p>
      <w:pPr>
        <w:numPr>
          <w:ilvl w:val="0"/>
          <w:numId w:val="1001"/>
        </w:numPr>
        <w:pStyle w:val="Compact"/>
      </w:pPr>
      <w:r>
        <w:t xml:space="preserve">Council of Deans of New Zealand. (2023). *Digital Transformation in Tertiary Education: Challenges and Opportunities*. Wellington: CDNZ.</w:t>
      </w:r>
    </w:p>
    <w:p>
      <w:pPr>
        <w:numPr>
          <w:ilvl w:val="0"/>
          <w:numId w:val="1001"/>
        </w:numPr>
        <w:pStyle w:val="Compact"/>
      </w:pPr>
      <w:r>
        <w:t xml:space="preserve">Tiaki Academy. (2021). *Te Whare Tāona: Health and Wellbeing Framework for Universities*. Auckland, NZ.</w:t>
      </w:r>
    </w:p>
    <w:bookmarkStart w:id="26" w:name="footnote1"/>
    <w:p>
      <w:pPr>
        <w:pStyle w:val="FirstParagraph"/>
      </w:pPr>
      <w:r>
        <w:rPr>
          <w:vertAlign w:val="superscript"/>
        </w:rPr>
        <w:t xml:space="preserve">1</w:t>
      </w:r>
      <w:r>
        <w:t xml:space="preserve">Note on terminology: In New Zealand academic contexts, "Lecturer" is a specific rank equivalent to Assistant Professor in the US system or Senior Lecturer (depending on seniority) in other Commonwealth systems. This paper uses the term broadly to refer to teaching and research staff within the university hierarchy.</w:t>
      </w:r>
    </w:p>
    <w:bookmarkEnd w:id="26"/>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New Zealand Auckland: Pedagogical Innovation and Cultural Responsiveness</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