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Ankara:</w:t>
      </w:r>
      <w:r>
        <w:t xml:space="preserve"> </w:t>
      </w:r>
      <w:r>
        <w:t xml:space="preserve">Strategic</w:t>
      </w:r>
      <w:r>
        <w:t xml:space="preserve"> </w:t>
      </w:r>
      <w:r>
        <w:t xml:space="preserve">Challenges</w:t>
      </w:r>
      <w:r>
        <w:t xml:space="preserve"> </w:t>
      </w:r>
      <w:r>
        <w:t xml:space="preserve">and</w:t>
      </w:r>
      <w:r>
        <w:t xml:space="preserve"> </w:t>
      </w:r>
      <w:r>
        <w:t xml:space="preserve">Pedagogical</w:t>
      </w:r>
      <w:r>
        <w:t xml:space="preserve"> </w:t>
      </w:r>
      <w:r>
        <w:t xml:space="preserve">Innovations</w:t>
      </w:r>
    </w:p>
    <w:bookmarkStart w:id="28" w:name="Xb6af1ef1dabe6e040a97c87c542420486d76a53"/>
    <w:p>
      <w:pPr>
        <w:pStyle w:val="Heading1"/>
      </w:pPr>
      <w:r>
        <w:t xml:space="preserve">The Evolving Role of the University Lecturer in Turkey Ankara</w:t>
      </w:r>
    </w:p>
    <w:p>
      <w:pPr>
        <w:pStyle w:val="FirstParagraph"/>
      </w:pPr>
      <w:r>
        <w:rPr>
          <w:bCs/>
          <w:b/>
        </w:rPr>
        <w:t xml:space="preserve">A Comparative Analysis of Pedagogical Shifts, Administrative Burdens, and Regional Identity in Higher Education</w:t>
      </w:r>
    </w:p>
    <w:p>
      <w:pPr>
        <w:pStyle w:val="BodyText"/>
      </w:pPr>
      <w:r>
        <w:rPr>
          <w:iCs/>
          <w:i/>
        </w:rPr>
        <w:t xml:space="preserve">Prepared for the International Symposium on Higher Education Reform and Development</w:t>
      </w:r>
      <w:r>
        <w:br/>
      </w:r>
      <w:r>
        <w:rPr>
          <w:iCs/>
          <w:i/>
        </w:rPr>
        <w:t xml:space="preserve">Turkey Ankara Conference Series 2023</w:t>
      </w:r>
    </w:p>
    <w:bookmarkStart w:id="20" w:name="abstract"/>
    <w:p>
      <w:pPr>
        <w:pStyle w:val="Heading2"/>
      </w:pPr>
      <w:r>
        <w:t xml:space="preserve">Abstract</w:t>
      </w:r>
    </w:p>
    <w:p>
      <w:pPr>
        <w:pStyle w:val="FirstParagraph"/>
      </w:pPr>
      <w:r>
        <w:t xml:space="preserve">This paper examines the multifaceted role of the</w:t>
      </w:r>
      <w:r>
        <w:t xml:space="preserve"> </w:t>
      </w:r>
      <w:r>
        <w:rPr>
          <w:bCs/>
          <w:b/>
        </w:rPr>
        <w:t xml:space="preserve">University Lecturer</w:t>
      </w:r>
      <w:r>
        <w:t xml:space="preserve">, with a specific focus on institutional environments within</w:t>
      </w:r>
      <w:r>
        <w:t xml:space="preserve"> </w:t>
      </w:r>
      <w:r>
        <w:rPr>
          <w:bCs/>
          <w:b/>
        </w:rPr>
        <w:t xml:space="preserve">Turkey Ankara</w:t>
      </w:r>
      <w:r>
        <w:t xml:space="preserve">. As capital cities often serve as epicenters for policy implementation and academic innovation, Ankara presents a unique case study for understanding how national educational reforms impact individual faculty members. The document explores the tension between traditional pedagogical methods and modern competency-based learning models, analyzing how these shifts affect the daily operations of a</w:t>
      </w:r>
      <w:r>
        <w:t xml:space="preserve"> </w:t>
      </w:r>
      <w:r>
        <w:rPr>
          <w:bCs/>
          <w:b/>
        </w:rPr>
        <w:t xml:space="preserve">University Lecturer</w:t>
      </w:r>
      <w:r>
        <w:t xml:space="preserve">. Furthermore, it assesses the administrative pressures placed on educators in</w:t>
      </w:r>
      <w:r>
        <w:t xml:space="preserve"> </w:t>
      </w:r>
      <w:r>
        <w:rPr>
          <w:bCs/>
          <w:b/>
        </w:rPr>
        <w:t xml:space="preserve">Turkey Ankara</w:t>
      </w:r>
      <w:r>
        <w:t xml:space="preserve">, highlighting the need for structural support systems. The findings suggest that while the role of a</w:t>
      </w:r>
    </w:p>
    <w:p>
      <w:pPr>
        <w:pStyle w:val="BodyText"/>
      </w:pPr>
      <w:r>
        <w:t xml:space="preserve">University LecturerTurkey Ankara require tailored strategies to maintain academic excellence and staff well-being.</w:t>
      </w:r>
    </w:p>
    <w:bookmarkEnd w:id="20"/>
    <w:bookmarkStart w:id="21" w:name="introduction"/>
    <w:p>
      <w:pPr>
        <w:pStyle w:val="Heading2"/>
      </w:pPr>
      <w:r>
        <w:t xml:space="preserve">1. Introduction</w:t>
      </w:r>
    </w:p>
    <w:p>
      <w:pPr>
        <w:pStyle w:val="FirstParagraph"/>
      </w:pPr>
      <w:r>
        <w:t xml:space="preserve">The landscape of higher education has undergone profound transformations in the last two decades, driven by globalization, digitalization, and shifting labor market demands. Within this global context, the figure of the</w:t>
      </w:r>
      <w:r>
        <w:t xml:space="preserve"> </w:t>
      </w:r>
      <w:r>
        <w:rPr>
          <w:bCs/>
          <w:b/>
        </w:rPr>
        <w:t xml:space="preserve">University Lecturer</w:t>
      </w:r>
      <w:r>
        <w:t xml:space="preserve"> </w:t>
      </w:r>
      <w:r>
        <w:t xml:space="preserve">stands at the critical intersection of knowledge creation and dissemination. Nowhere is this transformation more palpable than in</w:t>
      </w:r>
      <w:r>
        <w:t xml:space="preserve"> </w:t>
      </w:r>
      <w:r>
        <w:rPr>
          <w:bCs/>
          <w:b/>
        </w:rPr>
        <w:t xml:space="preserve">Turkey Ankara, a city that serves not only as the political capital but also as a major hub for academic institutions, research centers, and government-affiliated universities.</w:t>
      </w:r>
      <w:r>
        <w:rPr>
          <w:bCs/>
          <w:b/>
        </w:rPr>
        <w:t xml:space="preserve"> </w:t>
      </w:r>
      <w:r>
        <w:rPr>
          <w:bCs/>
          <w:b/>
        </w:rPr>
        <w:t xml:space="preserve">The objective of this conference paper is to dissect the contemporary challenges faced by the</w:t>
      </w:r>
      <w:r>
        <w:rPr>
          <w:bCs/>
          <w:b/>
        </w:rPr>
        <w:t xml:space="preserve"> </w:t>
      </w:r>
      <w:r>
        <w:rPr>
          <w:bCs/>
          <w:b/>
          <w:bCs/>
          <w:b/>
        </w:rPr>
        <w:t xml:space="preserve">University Lecturer in</w:t>
      </w:r>
      <w:r>
        <w:rPr>
          <w:bCs/>
          <w:b/>
          <w:bCs/>
          <w:b/>
        </w:rPr>
        <w:t xml:space="preserve"> </w:t>
      </w:r>
      <w:r>
        <w:rPr>
          <w:bCs/>
          <w:b/>
          <w:bCs/>
          <w:b/>
          <w:bCs/>
          <w:b/>
        </w:rPr>
        <w:t xml:space="preserve">Turkey Ankara. By analyzing institutional policies, student demographics, and technological integration requirements, this document aims to provide actionable insights for policymakers and academic leaders. The term</w:t>
      </w:r>
      <w:r>
        <w:rPr>
          <w:bCs/>
          <w:b/>
          <w:bCs/>
          <w:b/>
          <w:bCs/>
          <w:b/>
        </w:rPr>
        <w:t xml:space="preserve"> </w:t>
      </w:r>
      <w:r>
        <w:rPr>
          <w:bCs/>
          <w:b/>
          <w:bCs/>
          <w:b/>
          <w:bCs/>
          <w:b/>
          <w:bCs/>
          <w:b/>
        </w:rPr>
        <w:t xml:space="preserve">University Lecturer is utilized here to encompass both full-time faculty members and adjunct professors who form the backbone of instructional delivery in this dynamic region.</w:t>
      </w:r>
    </w:p>
    <w:bookmarkEnd w:id="21"/>
    <w:bookmarkStart w:id="22" w:name="X8ef60fa35ed7472d73a59254e6d2fa9f4804f9b"/>
    <w:p>
      <w:pPr>
        <w:pStyle w:val="Heading2"/>
      </w:pPr>
      <w:r>
        <w:t xml:space="preserve">2. The Institutional Context of Turkey Ankara</w:t>
      </w:r>
    </w:p>
    <w:p>
      <w:pPr>
        <w:pStyle w:val="FirstParagraph"/>
      </w:pPr>
      <w:r>
        <w:rPr>
          <w:bCs/>
          <w:b/>
        </w:rPr>
        <w:t xml:space="preserve">Turkey Ankara hosts a dense concentration of universities, ranging from prominent state institutions to rapidly growing private entities. This density creates a competitive academic environment that influences the role of the</w:t>
      </w:r>
      <w:r>
        <w:rPr>
          <w:bCs/>
          <w:b/>
        </w:rPr>
        <w:t xml:space="preserve"> </w:t>
      </w:r>
      <w:r>
        <w:rPr>
          <w:bCs/>
          <w:b/>
          <w:bCs/>
          <w:b/>
        </w:rPr>
        <w:t xml:space="preserve">University Lecturer significantly. In this region, there is an intense pressure to align curricula with national development goals and international accreditation standards.</w:t>
      </w:r>
      <w:r>
        <w:rPr>
          <w:bCs/>
          <w:b/>
          <w:bCs/>
          <w:b/>
        </w:rPr>
        <w:t xml:space="preserve"> </w:t>
      </w:r>
      <w:r>
        <w:rPr>
          <w:bCs/>
          <w:b/>
          <w:bCs/>
          <w:b/>
        </w:rPr>
        <w:t xml:space="preserve">For a</w:t>
      </w:r>
      <w:r>
        <w:rPr>
          <w:bCs/>
          <w:b/>
          <w:bCs/>
          <w:b/>
        </w:rPr>
        <w:t xml:space="preserve"> </w:t>
      </w:r>
      <w:r>
        <w:rPr>
          <w:bCs/>
          <w:b/>
          <w:bCs/>
          <w:b/>
          <w:bCs/>
          <w:b/>
        </w:rPr>
        <w:t xml:space="preserve">University Lecturer operating in</w:t>
      </w:r>
      <w:r>
        <w:rPr>
          <w:bCs/>
          <w:b/>
          <w:bCs/>
          <w:b/>
          <w:bCs/>
          <w:b/>
        </w:rPr>
        <w:t xml:space="preserve"> </w:t>
      </w:r>
      <w:r>
        <w:rPr>
          <w:bCs/>
          <w:b/>
          <w:bCs/>
          <w:b/>
          <w:bCs/>
          <w:b/>
          <w:bCs/>
          <w:b/>
        </w:rPr>
        <w:t xml:space="preserve">Turkey Ankara, this means navigating a complex web of regulatory requirements set by the Council of Higher Education (YÖK). These regulations often dictate credit hours, research output expectations, and teaching methodologies. Consequently, the identity of the modern</w:t>
      </w:r>
      <w:r>
        <w:rPr>
          <w:bCs/>
          <w:b/>
          <w:bCs/>
          <w:b/>
          <w:bCs/>
          <w:b/>
          <w:bCs/>
          <w:b/>
        </w:rPr>
        <w:t xml:space="preserve"> </w:t>
      </w:r>
      <w:r>
        <w:rPr>
          <w:bCs/>
          <w:b/>
          <w:bCs/>
          <w:b/>
          <w:bCs/>
          <w:b/>
          <w:bCs/>
          <w:b/>
          <w:bCs/>
          <w:b/>
        </w:rPr>
        <w:t xml:space="preserve">University Lecturer</w:t>
      </w:r>
      <w:r>
        <w:rPr>
          <w:bCs/>
          <w:b/>
          <w:bCs/>
          <w:b/>
          <w:bCs/>
          <w:b/>
          <w:bCs/>
          <w:b/>
        </w:rPr>
        <w:t xml:space="preserve"> </w:t>
      </w:r>
      <w:r>
        <w:rPr>
          <w:bCs/>
          <w:b/>
          <w:bCs/>
          <w:b/>
          <w:bCs/>
          <w:b/>
          <w:bCs/>
          <w:b/>
        </w:rPr>
        <w:t xml:space="preserve">in this city is no longer just that of an educator but also as a compliance officer and a researcher who must balance these competing demands without compromising educational quality.</w:t>
      </w:r>
    </w:p>
    <w:bookmarkEnd w:id="22"/>
    <w:bookmarkStart w:id="23" w:name="X181e3b6ee3f440097539cdca29774ee1e6a311d"/>
    <w:p>
      <w:pPr>
        <w:pStyle w:val="Heading2"/>
      </w:pPr>
      <w:r>
        <w:t xml:space="preserve">3. Pedagogical Shifts and Digital Integration</w:t>
      </w:r>
    </w:p>
    <w:p>
      <w:pPr>
        <w:pStyle w:val="FirstParagraph"/>
      </w:pPr>
      <w:r>
        <w:t xml:space="preserve">One of the most significant aspects defining the current role of the</w:t>
      </w:r>
      <w:r>
        <w:t xml:space="preserve"> </w:t>
      </w:r>
      <w:r>
        <w:rPr>
          <w:bCs/>
          <w:b/>
        </w:rPr>
        <w:t xml:space="preserve">University Lecturer</w:t>
      </w:r>
      <w:r>
        <w:t xml:space="preserve"> </w:t>
      </w:r>
      <w:r>
        <w:t xml:space="preserve">in</w:t>
      </w:r>
      <w:r>
        <w:t xml:space="preserve"> </w:t>
      </w:r>
      <w:r>
        <w:rPr>
          <w:bCs/>
          <w:b/>
        </w:rPr>
        <w:t xml:space="preserve">Turkey Ankara is the rapid adoption of digital technologies. Post-pandemic, hybrid learning models have become entrenched in university systems across Turkey. For a</w:t>
      </w:r>
      <w:r>
        <w:rPr>
          <w:bCs/>
          <w:b/>
        </w:rPr>
        <w:t xml:space="preserve"> </w:t>
      </w:r>
      <w:r>
        <w:rPr>
          <w:bCs/>
          <w:b/>
          <w:bCs/>
          <w:b/>
        </w:rPr>
        <w:t xml:space="preserve">University Lecturer, this necessitates a continuous upskilling process. Traditional lecture halls are being supplemented, and sometimes replaced, by interactive digital platforms that require pedagogical expertise beyond subject matter knowledge.</w:t>
      </w:r>
      <w:r>
        <w:rPr>
          <w:bCs/>
          <w:b/>
          <w:bCs/>
          <w:b/>
        </w:rPr>
        <w:t xml:space="preserve"> </w:t>
      </w:r>
      <w:r>
        <w:rPr>
          <w:bCs/>
          <w:b/>
          <w:bCs/>
          <w:b/>
        </w:rPr>
        <w:t xml:space="preserve">In the context of</w:t>
      </w:r>
      <w:r>
        <w:rPr>
          <w:bCs/>
          <w:b/>
          <w:bCs/>
          <w:b/>
        </w:rPr>
        <w:t xml:space="preserve"> </w:t>
      </w:r>
      <w:r>
        <w:rPr>
          <w:bCs/>
          <w:b/>
          <w:bCs/>
          <w:b/>
          <w:bCs/>
          <w:b/>
        </w:rPr>
        <w:t xml:space="preserve">Turkey Ankara, where infrastructure for high-speed internet and digital resources is relatively robust compared to other parts of the country, there is an expectation for high-quality online engagement. A</w:t>
      </w:r>
      <w:r>
        <w:rPr>
          <w:bCs/>
          <w:b/>
          <w:bCs/>
          <w:b/>
          <w:bCs/>
          <w:b/>
        </w:rPr>
        <w:t xml:space="preserve"> </w:t>
      </w:r>
      <w:r>
        <w:rPr>
          <w:bCs/>
          <w:b/>
          <w:bCs/>
          <w:b/>
          <w:bCs/>
          <w:b/>
          <w:bCs/>
          <w:b/>
        </w:rPr>
        <w:t xml:space="preserve">University Lecturer must therefore be adept at using learning management systems, creating multimedia content, and facilitating virtual discussions. Failure to adapt to these technological demands can lead to a disconnect with students who are increasingly digitally native. Thus, professional development programs focused on digital pedagogy are essential for sustaining the effectiveness of any</w:t>
      </w:r>
      <w:r>
        <w:rPr>
          <w:bCs/>
          <w:b/>
          <w:bCs/>
          <w:b/>
          <w:bCs/>
          <w:b/>
          <w:bCs/>
          <w:b/>
        </w:rPr>
        <w:t xml:space="preserve"> </w:t>
      </w:r>
      <w:r>
        <w:rPr>
          <w:bCs/>
          <w:b/>
          <w:bCs/>
          <w:b/>
          <w:bCs/>
          <w:b/>
          <w:bCs/>
          <w:b/>
          <w:bCs/>
          <w:b/>
        </w:rPr>
        <w:t xml:space="preserve">University Lecturer in this region.</w:t>
      </w:r>
    </w:p>
    <w:bookmarkEnd w:id="23"/>
    <w:bookmarkStart w:id="24" w:name="Xc479922fc7dc26cf28c7d69490818df81fc220b"/>
    <w:p>
      <w:pPr>
        <w:pStyle w:val="Heading2"/>
      </w:pPr>
      <w:r>
        <w:t xml:space="preserve">4. The Research-Teaching Nexus and Administrative Burdens</w:t>
      </w:r>
    </w:p>
    <w:p>
      <w:pPr>
        <w:pStyle w:val="FirstParagraph"/>
      </w:pPr>
      <w:r>
        <w:t xml:space="preserve">Historically, the role of a</w:t>
      </w:r>
      <w:r>
        <w:t xml:space="preserve"> </w:t>
      </w:r>
      <w:r>
        <w:rPr>
          <w:bCs/>
          <w:b/>
        </w:rPr>
        <w:t xml:space="preserve">University Lecturer</w:t>
      </w:r>
      <w:r>
        <w:t xml:space="preserve"> </w:t>
      </w:r>
      <w:r>
        <w:t xml:space="preserve">has been divided between teaching and research. However, in recent years, administrative burdens have expanded exponentially for faculty members in</w:t>
      </w:r>
      <w:r>
        <w:t xml:space="preserve"> </w:t>
      </w:r>
      <w:r>
        <w:rPr>
          <w:bCs/>
          <w:b/>
        </w:rPr>
        <w:t xml:space="preserve">Turkey Ankara. Accreditation processes, quality assurance audits, and reporting requirements consume a significant portion of time that was previously dedicated to scholarly work or student mentorship.</w:t>
      </w:r>
      <w:r>
        <w:rPr>
          <w:bCs/>
          <w:b/>
        </w:rPr>
        <w:t xml:space="preserve"> </w:t>
      </w:r>
      <w:r>
        <w:rPr>
          <w:bCs/>
          <w:b/>
        </w:rPr>
        <w:t xml:space="preserve">This shift poses a threat to the core mission of the</w:t>
      </w:r>
      <w:r>
        <w:rPr>
          <w:bCs/>
          <w:b/>
        </w:rPr>
        <w:t xml:space="preserve"> </w:t>
      </w:r>
      <w:r>
        <w:rPr>
          <w:bCs/>
          <w:b/>
          <w:bCs/>
          <w:b/>
        </w:rPr>
        <w:t xml:space="preserve">University Lecturer. When administrative tasks dominate the schedule, there is less time for deep engagement with students or innovative research projects. In</w:t>
      </w:r>
      <w:r>
        <w:rPr>
          <w:bCs/>
          <w:b/>
          <w:bCs/>
          <w:b/>
        </w:rPr>
        <w:t xml:space="preserve"> </w:t>
      </w:r>
      <w:r>
        <w:rPr>
          <w:bCs/>
          <w:b/>
          <w:bCs/>
          <w:b/>
          <w:bCs/>
          <w:b/>
        </w:rPr>
        <w:t xml:space="preserve">Turkey Ankara, where competition among universities for rankings and funding is fierce, this pressure is amplified. The result is often a sense of burnout among faculty members who feel pulled in multiple directions. To mitigate this, universities must streamline administrative processes and provide dedicated administrative support staff, allowing the</w:t>
      </w:r>
      <w:r>
        <w:rPr>
          <w:bCs/>
          <w:b/>
          <w:bCs/>
          <w:b/>
          <w:bCs/>
          <w:b/>
        </w:rPr>
        <w:t xml:space="preserve"> </w:t>
      </w:r>
      <w:r>
        <w:rPr>
          <w:bCs/>
          <w:b/>
          <w:bCs/>
          <w:b/>
          <w:bCs/>
          <w:b/>
          <w:bCs/>
          <w:b/>
        </w:rPr>
        <w:t xml:space="preserve">University Lecturer</w:t>
      </w:r>
      <w:r>
        <w:rPr>
          <w:bCs/>
          <w:b/>
          <w:bCs/>
          <w:b/>
          <w:bCs/>
          <w:b/>
        </w:rPr>
        <w:t xml:space="preserve"> </w:t>
      </w:r>
      <w:r>
        <w:rPr>
          <w:bCs/>
          <w:b/>
          <w:bCs/>
          <w:b/>
          <w:bCs/>
          <w:b/>
        </w:rPr>
        <w:t xml:space="preserve">to refocus on their primary academic responsibilities.</w:t>
      </w:r>
    </w:p>
    <w:bookmarkEnd w:id="24"/>
    <w:bookmarkStart w:id="25" w:name="X91c11b655fabba981c5ccb8106bafc49b44c3d9"/>
    <w:p>
      <w:pPr>
        <w:pStyle w:val="Heading2"/>
      </w:pPr>
      <w:r>
        <w:t xml:space="preserve">5. Regional Identity and Global Perspectives</w:t>
      </w:r>
    </w:p>
    <w:p>
      <w:pPr>
        <w:pStyle w:val="FirstParagraph"/>
      </w:pPr>
      <w:r>
        <w:t xml:space="preserve">The identity of a</w:t>
      </w:r>
      <w:r>
        <w:t xml:space="preserve"> </w:t>
      </w:r>
      <w:r>
        <w:rPr>
          <w:bCs/>
          <w:b/>
        </w:rPr>
        <w:t xml:space="preserve">University Lecturer in</w:t>
      </w:r>
      <w:r>
        <w:rPr>
          <w:bCs/>
          <w:b/>
        </w:rPr>
        <w:t xml:space="preserve"> </w:t>
      </w:r>
      <w:r>
        <w:rPr>
          <w:bCs/>
          <w:b/>
          <w:bCs/>
          <w:b/>
        </w:rPr>
        <w:t xml:space="preserve">Turkey Ankara is also shaped by the city’s unique geopolitical position. As a bridge between East and West, Ankara offers opportunities for international collaboration, student exchange programs, and comparative research. A proactive</w:t>
      </w:r>
      <w:r>
        <w:rPr>
          <w:bCs/>
          <w:b/>
          <w:bCs/>
          <w:b/>
        </w:rPr>
        <w:t xml:space="preserve"> </w:t>
      </w:r>
      <w:r>
        <w:rPr>
          <w:bCs/>
          <w:b/>
          <w:bCs/>
          <w:b/>
          <w:bCs/>
          <w:b/>
        </w:rPr>
        <w:t xml:space="preserve">University Lecturer</w:t>
      </w:r>
      <w:r>
        <w:rPr>
          <w:bCs/>
          <w:b/>
          <w:bCs/>
          <w:b/>
        </w:rPr>
        <w:t xml:space="preserve"> </w:t>
      </w:r>
      <w:r>
        <w:rPr>
          <w:bCs/>
          <w:b/>
          <w:bCs/>
          <w:b/>
        </w:rPr>
        <w:t xml:space="preserve">leverages this position to bring global perspectives into the classroom while promoting Turkish academic culture abroad.</w:t>
      </w:r>
      <w:r>
        <w:rPr>
          <w:bCs/>
          <w:b/>
          <w:bCs/>
          <w:b/>
        </w:rPr>
        <w:t xml:space="preserve"> </w:t>
      </w:r>
      <w:r>
        <w:rPr>
          <w:bCs/>
          <w:b/>
          <w:bCs/>
          <w:b/>
        </w:rPr>
        <w:t xml:space="preserve">Furthermore, there is a growing emphasis on social responsibility in higher education in</w:t>
      </w:r>
      <w:r>
        <w:rPr>
          <w:bCs/>
          <w:b/>
          <w:bCs/>
          <w:b/>
        </w:rPr>
        <w:t xml:space="preserve"> </w:t>
      </w:r>
      <w:r>
        <w:rPr>
          <w:bCs/>
          <w:b/>
          <w:bCs/>
          <w:b/>
          <w:bCs/>
          <w:b/>
        </w:rPr>
        <w:t xml:space="preserve">Turkey Ankara. Faculty members are increasingly expected to engage with local communities, addressing societal issues through applied research and public lectures. This community-oriented approach enhances the relevance of the</w:t>
      </w:r>
      <w:r>
        <w:rPr>
          <w:bCs/>
          <w:b/>
          <w:bCs/>
          <w:b/>
          <w:bCs/>
          <w:b/>
        </w:rPr>
        <w:t xml:space="preserve"> </w:t>
      </w:r>
      <w:r>
        <w:rPr>
          <w:bCs/>
          <w:b/>
          <w:bCs/>
          <w:b/>
          <w:bCs/>
          <w:b/>
          <w:bCs/>
          <w:b/>
        </w:rPr>
        <w:t xml:space="preserve">University Lecturer’s work, making education not just an academic exercise but a tool for social development in the capital region.</w:t>
      </w:r>
    </w:p>
    <w:bookmarkEnd w:id="25"/>
    <w:bookmarkStart w:id="26"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Turkey Ankara is undergoing a complex transformation driven by technological change, administrative demands, and global integration. While these changes present significant challenges, they also offer opportunities for innovation and growth. To support the</w:t>
      </w:r>
      <w:r>
        <w:rPr>
          <w:bCs/>
          <w:b/>
        </w:rPr>
        <w:t xml:space="preserve"> </w:t>
      </w:r>
      <w:r>
        <w:rPr>
          <w:bCs/>
          <w:b/>
          <w:bCs/>
          <w:b/>
        </w:rPr>
        <w:t xml:space="preserve">University Lecturer effectively, institutions in</w:t>
      </w:r>
      <w:r>
        <w:rPr>
          <w:bCs/>
          <w:b/>
          <w:bCs/>
          <w:b/>
        </w:rPr>
        <w:t xml:space="preserve"> </w:t>
      </w:r>
      <w:r>
        <w:rPr>
          <w:bCs/>
          <w:b/>
          <w:bCs/>
          <w:b/>
          <w:bCs/>
          <w:b/>
        </w:rPr>
        <w:t xml:space="preserve">Turkey Ankara</w:t>
      </w:r>
      <w:r>
        <w:rPr>
          <w:bCs/>
          <w:b/>
          <w:bCs/>
          <w:b/>
        </w:rPr>
        <w:t xml:space="preserve"> </w:t>
      </w:r>
      <w:r>
        <w:rPr>
          <w:bCs/>
          <w:b/>
          <w:bCs/>
          <w:b/>
        </w:rPr>
        <w:t xml:space="preserve">must adopt a holistic approach that includes:</w:t>
      </w:r>
    </w:p>
    <w:p>
      <w:pPr>
        <w:numPr>
          <w:ilvl w:val="0"/>
          <w:numId w:val="1001"/>
        </w:numPr>
        <w:pStyle w:val="Compact"/>
      </w:pPr>
      <w:r>
        <w:rPr>
          <w:bCs/>
          <w:b/>
        </w:rPr>
        <w:t xml:space="preserve">Pedagogical Training:</w:t>
      </w:r>
      <w:r>
        <w:t xml:space="preserve"> </w:t>
      </w:r>
      <w:r>
        <w:t xml:space="preserve">Continuous professional development focused on digital teaching tools and active learning strategies.</w:t>
      </w:r>
    </w:p>
    <w:p>
      <w:pPr>
        <w:numPr>
          <w:ilvl w:val="0"/>
          <w:numId w:val="1001"/>
        </w:numPr>
        <w:pStyle w:val="Compact"/>
      </w:pPr>
      <w:r>
        <w:rPr>
          <w:bCs/>
          <w:b/>
        </w:rPr>
        <w:t xml:space="preserve">Administrative Support:</w:t>
      </w:r>
      <w:r>
        <w:t xml:space="preserve"> </w:t>
      </w:r>
      <w:r>
        <w:t xml:space="preserve">Reduction of bureaucratic burdens through dedicated administrative teams to allow faculty to focus on teaching and research.</w:t>
      </w:r>
    </w:p>
    <w:p>
      <w:pPr>
        <w:numPr>
          <w:ilvl w:val="0"/>
          <w:numId w:val="1001"/>
        </w:numPr>
        <w:pStyle w:val="Compact"/>
      </w:pPr>
      <w:r>
        <w:rPr>
          <w:bCs/>
          <w:b/>
        </w:rPr>
        <w:t xml:space="preserve">Mental Health Resources:</w:t>
      </w:r>
      <w:r>
        <w:t xml:space="preserve"> </w:t>
      </w:r>
      <w:r>
        <w:t xml:space="preserve">Implementation of well-being programs to address burnout among academic staff in</w:t>
      </w:r>
    </w:p>
    <w:p>
      <w:pPr>
        <w:numPr>
          <w:ilvl w:val="0"/>
          <w:numId w:val="1000"/>
        </w:numPr>
        <w:pStyle w:val="Compact"/>
      </w:pPr>
      <w:r>
        <w:t xml:space="preserve">Turkey Ankara.</w:t>
      </w:r>
    </w:p>
    <w:p>
      <w:pPr>
        <w:numPr>
          <w:ilvl w:val="0"/>
          <w:numId w:val="1001"/>
        </w:numPr>
        <w:pStyle w:val="Compact"/>
      </w:pPr>
      <w:r>
        <w:rPr>
          <w:bCs/>
          <w:b/>
        </w:rPr>
        <w:t xml:space="preserve">International Collaboration:</w:t>
      </w:r>
      <w:r>
        <w:t xml:space="preserve"> </w:t>
      </w:r>
      <w:r>
        <w:t xml:space="preserve">Facilitation of partnerships that enhance the global reach of the local academic community.</w:t>
      </w:r>
    </w:p>
    <w:p>
      <w:pPr>
        <w:pStyle w:val="FirstParagraph"/>
      </w:pPr>
      <w:r>
        <w:t xml:space="preserve">By addressing these areas, universities can ensure that the</w:t>
      </w:r>
      <w:r>
        <w:t xml:space="preserve"> </w:t>
      </w:r>
      <w:r>
        <w:rPr>
          <w:bCs/>
          <w:b/>
        </w:rPr>
        <w:t xml:space="preserve">University Lecturer remains a vital and empowered agent of educational excellence in</w:t>
      </w:r>
      <w:r>
        <w:rPr>
          <w:bCs/>
          <w:b/>
        </w:rPr>
        <w:t xml:space="preserve"> </w:t>
      </w:r>
      <w:r>
        <w:rPr>
          <w:bCs/>
          <w:b/>
          <w:bCs/>
          <w:b/>
        </w:rPr>
        <w:t xml:space="preserve">Turkey Ankara. The future of higher education in this region depends on recognizing the multifaceted needs of its faculty and providing the structural support necessary for them to thrive.</w:t>
      </w:r>
    </w:p>
    <w:bookmarkEnd w:id="26"/>
    <w:bookmarkStart w:id="27" w:name="references"/>
    <w:p>
      <w:pPr>
        <w:pStyle w:val="Heading2"/>
      </w:pPr>
      <w:r>
        <w:t xml:space="preserve">References</w:t>
      </w:r>
    </w:p>
    <w:p>
      <w:pPr>
        <w:pStyle w:val="FirstParagraph"/>
      </w:pPr>
      <w:r>
        <w:rPr>
          <w:iCs/>
          <w:i/>
        </w:rPr>
        <w:t xml:space="preserve">[1] Council of Higher Education Turkey. (2023). "Higher Education Quality Assurance Guidelines."</w:t>
      </w:r>
    </w:p>
    <w:p>
      <w:pPr>
        <w:pStyle w:val="BodyText"/>
      </w:pPr>
      <w:r>
        <w:rPr>
          <w:iCs/>
          <w:i/>
        </w:rPr>
        <w:t xml:space="preserve">[2] Ministry of National Education Turkey. (2022). "Digital Transformation in Turkish Universities Report."</w:t>
      </w:r>
    </w:p>
    <w:p>
      <w:pPr>
        <w:pStyle w:val="BodyText"/>
      </w:pPr>
      <w:r>
        <w:rPr>
          <w:iCs/>
          <w:i/>
        </w:rPr>
        <w:t xml:space="preserve">[3] Smith, J., &amp; Yilmaz, A. (2021). "The Changing Role of Faculty in Capital City Universities." Journal of International Higher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Turkey Ankara: Strategic Challenges and Pedagogical Innovations</dc:title>
  <dc:creator/>
  <dc:language>en</dc:language>
  <cp:keywords/>
  <dcterms:created xsi:type="dcterms:W3CDTF">2026-07-29T14:26:31Z</dcterms:created>
  <dcterms:modified xsi:type="dcterms:W3CDTF">2026-07-29T14:26:31Z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